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bidi w:val="0"/>
        <w:spacing w:line="560" w:lineRule="exact"/>
        <w:jc w:val="center"/>
        <w:outlineLvl w:val="0"/>
        <w:rPr>
          <w:rFonts w:hint="default" w:ascii="方正小标宋简体" w:hAnsi="宋体" w:eastAsia="方正小标宋简体"/>
          <w:color w:val="auto"/>
          <w:sz w:val="72"/>
          <w:szCs w:val="72"/>
          <w:highlight w:val="none"/>
          <w:lang w:val="en-US" w:eastAsia="zh-CN"/>
        </w:rPr>
      </w:pPr>
      <w:bookmarkStart w:id="0" w:name="_Toc15306267"/>
    </w:p>
    <w:p>
      <w:pPr>
        <w:pageBreakBefore w:val="0"/>
        <w:kinsoku/>
        <w:wordWrap/>
        <w:overflowPunct/>
        <w:bidi w:val="0"/>
        <w:spacing w:line="560" w:lineRule="exact"/>
        <w:jc w:val="center"/>
        <w:outlineLvl w:val="0"/>
        <w:rPr>
          <w:rFonts w:ascii="方正小标宋简体" w:hAnsi="宋体" w:eastAsia="方正小标宋简体"/>
          <w:color w:val="auto"/>
          <w:sz w:val="72"/>
          <w:szCs w:val="72"/>
          <w:highlight w:val="none"/>
        </w:rPr>
      </w:pPr>
    </w:p>
    <w:p>
      <w:pPr>
        <w:pageBreakBefore w:val="0"/>
        <w:kinsoku/>
        <w:wordWrap/>
        <w:overflowPunct/>
        <w:bidi w:val="0"/>
        <w:spacing w:line="560" w:lineRule="exact"/>
        <w:jc w:val="center"/>
        <w:outlineLvl w:val="0"/>
        <w:rPr>
          <w:rFonts w:ascii="方正小标宋简体" w:hAnsi="宋体" w:eastAsia="方正小标宋简体"/>
          <w:color w:val="auto"/>
          <w:sz w:val="72"/>
          <w:szCs w:val="72"/>
          <w:highlight w:val="none"/>
        </w:rPr>
      </w:pPr>
    </w:p>
    <w:p>
      <w:pPr>
        <w:pageBreakBefore w:val="0"/>
        <w:kinsoku/>
        <w:wordWrap/>
        <w:overflowPunct/>
        <w:bidi w:val="0"/>
        <w:spacing w:line="560" w:lineRule="exact"/>
        <w:jc w:val="center"/>
        <w:outlineLvl w:val="0"/>
        <w:rPr>
          <w:rFonts w:ascii="方正小标宋简体" w:hAnsi="宋体" w:eastAsia="方正小标宋简体"/>
          <w:color w:val="auto"/>
          <w:sz w:val="72"/>
          <w:szCs w:val="72"/>
          <w:highlight w:val="none"/>
        </w:rPr>
      </w:pPr>
    </w:p>
    <w:p>
      <w:pPr>
        <w:pageBreakBefore w:val="0"/>
        <w:kinsoku/>
        <w:wordWrap/>
        <w:overflowPunct/>
        <w:bidi w:val="0"/>
        <w:adjustRightInd w:val="0"/>
        <w:snapToGrid w:val="0"/>
        <w:spacing w:line="560" w:lineRule="exact"/>
        <w:jc w:val="center"/>
        <w:outlineLvl w:val="0"/>
        <w:rPr>
          <w:rFonts w:hint="eastAsia" w:ascii="方正小标宋简体" w:hAnsi="方正小标宋简体" w:eastAsia="方正小标宋简体" w:cs="方正小标宋简体"/>
          <w:color w:val="auto"/>
          <w:sz w:val="72"/>
          <w:szCs w:val="72"/>
          <w:highlight w:val="none"/>
        </w:rPr>
      </w:pPr>
      <w:bookmarkStart w:id="1" w:name="_Toc15377425"/>
      <w:bookmarkStart w:id="2" w:name="_Toc15396597"/>
      <w:bookmarkStart w:id="3" w:name="_Toc15396475"/>
      <w:bookmarkStart w:id="4" w:name="_Toc15377193"/>
      <w:bookmarkStart w:id="5" w:name="_Toc15378441"/>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21</w:t>
      </w:r>
      <w:r>
        <w:rPr>
          <w:rFonts w:hint="eastAsia" w:ascii="方正小标宋简体" w:hAnsi="方正小标宋简体" w:eastAsia="方正小标宋简体" w:cs="方正小标宋简体"/>
          <w:color w:val="auto"/>
          <w:sz w:val="72"/>
          <w:szCs w:val="72"/>
          <w:highlight w:val="none"/>
        </w:rPr>
        <w:t>年度</w:t>
      </w:r>
      <w:bookmarkEnd w:id="1"/>
      <w:bookmarkEnd w:id="2"/>
      <w:bookmarkEnd w:id="3"/>
      <w:bookmarkEnd w:id="4"/>
      <w:bookmarkEnd w:id="5"/>
    </w:p>
    <w:p>
      <w:pPr>
        <w:pageBreakBefore w:val="0"/>
        <w:kinsoku/>
        <w:wordWrap/>
        <w:overflowPunct/>
        <w:bidi w:val="0"/>
        <w:adjustRightInd w:val="0"/>
        <w:snapToGrid w:val="0"/>
        <w:spacing w:line="560" w:lineRule="exact"/>
        <w:jc w:val="center"/>
        <w:outlineLvl w:val="0"/>
        <w:rPr>
          <w:rFonts w:hint="eastAsia" w:ascii="方正小标宋简体" w:hAnsi="方正小标宋简体" w:eastAsia="方正小标宋简体" w:cs="方正小标宋简体"/>
          <w:color w:val="auto"/>
          <w:sz w:val="72"/>
          <w:szCs w:val="72"/>
          <w:highlight w:val="none"/>
        </w:rPr>
      </w:pPr>
      <w:bookmarkStart w:id="6" w:name="_Toc15396598"/>
      <w:bookmarkStart w:id="7" w:name="_Toc15377194"/>
      <w:bookmarkStart w:id="8" w:name="_Toc15378442"/>
      <w:bookmarkStart w:id="9" w:name="_Toc15377426"/>
      <w:bookmarkStart w:id="10" w:name="_Toc15396476"/>
      <w:r>
        <w:rPr>
          <w:rFonts w:hint="eastAsia" w:ascii="方正小标宋简体" w:hAnsi="方正小标宋简体" w:eastAsia="方正小标宋简体" w:cs="方正小标宋简体"/>
          <w:color w:val="auto"/>
          <w:sz w:val="72"/>
          <w:szCs w:val="72"/>
          <w:highlight w:val="none"/>
        </w:rPr>
        <w:t>四川省</w:t>
      </w:r>
      <w:bookmarkEnd w:id="0"/>
      <w:bookmarkStart w:id="11" w:name="_Toc15306268"/>
      <w:r>
        <w:rPr>
          <w:rFonts w:hint="eastAsia" w:ascii="方正小标宋简体" w:hAnsi="方正小标宋简体" w:eastAsia="方正小标宋简体" w:cs="方正小标宋简体"/>
          <w:color w:val="auto"/>
          <w:sz w:val="72"/>
          <w:szCs w:val="72"/>
          <w:highlight w:val="none"/>
        </w:rPr>
        <w:t>遂宁市妇女联合会</w:t>
      </w:r>
      <w:r>
        <w:rPr>
          <w:rFonts w:hint="eastAsia" w:ascii="方正小标宋简体" w:hAnsi="方正小标宋简体" w:eastAsia="方正小标宋简体" w:cs="方正小标宋简体"/>
          <w:color w:val="auto"/>
          <w:sz w:val="72"/>
          <w:szCs w:val="72"/>
          <w:highlight w:val="none"/>
          <w:lang w:eastAsia="zh-CN"/>
        </w:rPr>
        <w:t>单位</w:t>
      </w:r>
      <w:r>
        <w:rPr>
          <w:rFonts w:hint="eastAsia" w:ascii="方正小标宋简体" w:hAnsi="方正小标宋简体" w:eastAsia="方正小标宋简体" w:cs="方正小标宋简体"/>
          <w:color w:val="auto"/>
          <w:sz w:val="72"/>
          <w:szCs w:val="72"/>
          <w:highlight w:val="none"/>
        </w:rPr>
        <w:t>决算</w:t>
      </w:r>
      <w:bookmarkEnd w:id="6"/>
      <w:bookmarkEnd w:id="7"/>
      <w:bookmarkEnd w:id="8"/>
      <w:bookmarkEnd w:id="9"/>
      <w:bookmarkEnd w:id="10"/>
      <w:bookmarkEnd w:id="11"/>
    </w:p>
    <w:p>
      <w:pPr>
        <w:pageBreakBefore w:val="0"/>
        <w:kinsoku/>
        <w:wordWrap/>
        <w:overflowPunct/>
        <w:bidi w:val="0"/>
        <w:adjustRightInd w:val="0"/>
        <w:snapToGrid w:val="0"/>
        <w:spacing w:line="560" w:lineRule="exact"/>
        <w:jc w:val="center"/>
        <w:outlineLvl w:val="0"/>
        <w:rPr>
          <w:rFonts w:ascii="方正小标宋简体" w:hAnsi="宋体" w:eastAsia="方正小标宋简体"/>
          <w:color w:val="auto"/>
          <w:sz w:val="52"/>
          <w:szCs w:val="52"/>
          <w:highlight w:val="none"/>
        </w:rPr>
      </w:pPr>
      <w:r>
        <w:rPr>
          <w:rFonts w:hint="eastAsia" w:ascii="方正小标宋简体" w:hAnsi="宋体" w:eastAsia="方正小标宋简体"/>
          <w:color w:val="auto"/>
          <w:sz w:val="52"/>
          <w:szCs w:val="52"/>
          <w:highlight w:val="none"/>
        </w:rPr>
        <w:t>(</w:t>
      </w:r>
      <w:r>
        <w:rPr>
          <w:rFonts w:hint="eastAsia" w:ascii="方正小标宋简体" w:hAnsi="宋体" w:eastAsia="方正小标宋简体"/>
          <w:color w:val="auto"/>
          <w:sz w:val="52"/>
          <w:szCs w:val="52"/>
          <w:highlight w:val="none"/>
          <w:lang w:eastAsia="zh-CN"/>
        </w:rPr>
        <w:t>单位公开</w:t>
      </w:r>
      <w:r>
        <w:rPr>
          <w:rFonts w:hint="eastAsia" w:ascii="方正小标宋简体" w:hAnsi="宋体" w:eastAsia="方正小标宋简体"/>
          <w:color w:val="auto"/>
          <w:sz w:val="52"/>
          <w:szCs w:val="52"/>
          <w:highlight w:val="none"/>
        </w:rPr>
        <w:t>范本)</w:t>
      </w:r>
    </w:p>
    <w:p>
      <w:pPr>
        <w:pageBreakBefore w:val="0"/>
        <w:widowControl/>
        <w:kinsoku/>
        <w:wordWrap/>
        <w:overflowPunct/>
        <w:bidi w:val="0"/>
        <w:spacing w:line="560" w:lineRule="exact"/>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pageBreakBefore w:val="0"/>
        <w:widowControl/>
        <w:kinsoku/>
        <w:wordWrap/>
        <w:overflowPunct/>
        <w:bidi w:val="0"/>
        <w:spacing w:line="560" w:lineRule="exact"/>
        <w:jc w:val="center"/>
        <w:rPr>
          <w:rFonts w:ascii="黑体" w:hAnsi="黑体" w:eastAsia="黑体" w:cstheme="minorBidi"/>
          <w:color w:val="auto"/>
          <w:sz w:val="28"/>
          <w:szCs w:val="28"/>
          <w:highlight w:val="none"/>
        </w:rPr>
      </w:pPr>
    </w:p>
    <w:p>
      <w:pPr>
        <w:pStyle w:val="10"/>
        <w:pageBreakBefore w:val="0"/>
        <w:kinsoku/>
        <w:wordWrap/>
        <w:overflowPunct/>
        <w:bidi w:val="0"/>
        <w:spacing w:line="560" w:lineRule="exact"/>
        <w:rPr>
          <w:color w:val="auto"/>
          <w:highlight w:val="none"/>
        </w:rPr>
      </w:pPr>
      <w:r>
        <w:rPr>
          <w:rFonts w:hint="eastAsia"/>
          <w:color w:val="auto"/>
          <w:highlight w:val="none"/>
        </w:rPr>
        <w:t>公开时间：20</w:t>
      </w:r>
      <w:r>
        <w:rPr>
          <w:rFonts w:hint="eastAsia"/>
          <w:color w:val="auto"/>
          <w:highlight w:val="none"/>
          <w:lang w:val="en-US" w:eastAsia="zh-CN"/>
        </w:rPr>
        <w:t>22</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22</w:t>
      </w:r>
      <w:r>
        <w:rPr>
          <w:rFonts w:hint="eastAsia"/>
          <w:color w:val="auto"/>
          <w:highlight w:val="none"/>
        </w:rPr>
        <w:t>日</w:t>
      </w:r>
    </w:p>
    <w:p>
      <w:pPr>
        <w:pageBreakBefore w:val="0"/>
        <w:kinsoku/>
        <w:wordWrap/>
        <w:overflowPunct/>
        <w:bidi w:val="0"/>
        <w:spacing w:line="560" w:lineRule="exact"/>
        <w:rPr>
          <w:color w:val="auto"/>
          <w:highlight w:val="none"/>
        </w:rPr>
      </w:pPr>
    </w:p>
    <w:p>
      <w:pPr>
        <w:pStyle w:val="10"/>
        <w:pageBreakBefore w:val="0"/>
        <w:kinsoku/>
        <w:wordWrap/>
        <w:overflowPunct/>
        <w:bidi w:val="0"/>
        <w:adjustRightInd w:val="0"/>
        <w:snapToGrid w:val="0"/>
        <w:spacing w:before="0" w:line="560" w:lineRule="exact"/>
        <w:jc w:val="left"/>
        <w:rPr>
          <w:rFonts w:cstheme="minorBidi"/>
          <w:color w:val="auto"/>
          <w:sz w:val="24"/>
          <w:szCs w:val="24"/>
          <w:highlight w:val="none"/>
        </w:rPr>
      </w:pPr>
      <w:r>
        <w:rPr>
          <w:rFonts w:hint="eastAsia"/>
          <w:color w:val="auto"/>
          <w:sz w:val="24"/>
          <w:highlight w:val="none"/>
        </w:rPr>
        <w:t>第一部分</w:t>
      </w:r>
      <w:r>
        <w:rPr>
          <w:color w:val="auto"/>
          <w:sz w:val="24"/>
          <w:highlight w:val="none"/>
        </w:rPr>
        <w:t xml:space="preserve"> </w:t>
      </w:r>
      <w:r>
        <w:rPr>
          <w:rFonts w:hint="eastAsia"/>
          <w:color w:val="auto"/>
          <w:sz w:val="24"/>
          <w:highlight w:val="none"/>
          <w:lang w:eastAsia="zh-CN"/>
        </w:rPr>
        <w:t>单位</w:t>
      </w:r>
      <w:r>
        <w:rPr>
          <w:rFonts w:hint="eastAsia"/>
          <w:color w:val="auto"/>
          <w:sz w:val="24"/>
          <w:highlight w:val="none"/>
        </w:rPr>
        <w:t>概况</w:t>
      </w:r>
    </w:p>
    <w:p>
      <w:pPr>
        <w:pStyle w:val="11"/>
        <w:pageBreakBefore w:val="0"/>
        <w:kinsoku/>
        <w:wordWrap/>
        <w:overflowPunct/>
        <w:bidi w:val="0"/>
        <w:adjustRightInd w:val="0"/>
        <w:snapToGrid w:val="0"/>
        <w:spacing w:line="560" w:lineRule="exact"/>
        <w:jc w:val="left"/>
        <w:rPr>
          <w:rFonts w:hint="eastAsia" w:eastAsia="宋体"/>
          <w:color w:val="auto"/>
          <w:sz w:val="24"/>
          <w:highlight w:val="none"/>
          <w:lang w:eastAsia="zh-CN"/>
        </w:rPr>
      </w:pPr>
      <w:r>
        <w:rPr>
          <w:rFonts w:hint="eastAsia"/>
          <w:color w:val="auto"/>
          <w:sz w:val="24"/>
          <w:highlight w:val="none"/>
        </w:rPr>
        <w:t>一、职能</w:t>
      </w:r>
      <w:r>
        <w:rPr>
          <w:rFonts w:hint="eastAsia"/>
          <w:color w:val="auto"/>
          <w:sz w:val="24"/>
          <w:highlight w:val="none"/>
          <w:lang w:eastAsia="zh-CN"/>
        </w:rPr>
        <w:t>简介</w:t>
      </w:r>
    </w:p>
    <w:p>
      <w:pPr>
        <w:pStyle w:val="11"/>
        <w:pageBreakBefore w:val="0"/>
        <w:kinsoku/>
        <w:wordWrap/>
        <w:overflowPunct/>
        <w:bidi w:val="0"/>
        <w:adjustRightInd w:val="0"/>
        <w:snapToGrid w:val="0"/>
        <w:spacing w:line="560" w:lineRule="exact"/>
        <w:jc w:val="lef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eastAsia="zh-CN"/>
        </w:rPr>
        <w:t>二、</w:t>
      </w:r>
      <w:r>
        <w:rPr>
          <w:rFonts w:hint="eastAsia" w:asciiTheme="minorEastAsia" w:hAnsiTheme="minorEastAsia" w:eastAsiaTheme="minorEastAsia" w:cstheme="minorEastAsia"/>
          <w:color w:val="auto"/>
          <w:sz w:val="24"/>
          <w:highlight w:val="none"/>
          <w:lang w:val="en-US" w:eastAsia="zh-CN"/>
        </w:rPr>
        <w:t>2021年重点</w:t>
      </w:r>
      <w:r>
        <w:rPr>
          <w:rFonts w:hint="eastAsia" w:asciiTheme="minorEastAsia" w:hAnsiTheme="minorEastAsia" w:eastAsiaTheme="minorEastAsia" w:cstheme="minorEastAsia"/>
          <w:color w:val="auto"/>
          <w:sz w:val="24"/>
          <w:highlight w:val="none"/>
        </w:rPr>
        <w:t>工作</w:t>
      </w:r>
      <w:r>
        <w:rPr>
          <w:rFonts w:hint="eastAsia" w:asciiTheme="minorEastAsia" w:hAnsiTheme="minorEastAsia" w:eastAsiaTheme="minorEastAsia" w:cstheme="minorEastAsia"/>
          <w:color w:val="auto"/>
          <w:sz w:val="24"/>
          <w:highlight w:val="none"/>
          <w:lang w:eastAsia="zh-CN"/>
        </w:rPr>
        <w:t>完成情况</w:t>
      </w:r>
    </w:p>
    <w:p>
      <w:pPr>
        <w:pStyle w:val="10"/>
        <w:pageBreakBefore w:val="0"/>
        <w:kinsoku/>
        <w:wordWrap/>
        <w:overflowPunct/>
        <w:bidi w:val="0"/>
        <w:adjustRightInd w:val="0"/>
        <w:snapToGrid w:val="0"/>
        <w:spacing w:before="0" w:line="560" w:lineRule="exact"/>
        <w:jc w:val="left"/>
        <w:rPr>
          <w:color w:val="auto"/>
          <w:sz w:val="24"/>
          <w:szCs w:val="24"/>
          <w:highlight w:val="none"/>
        </w:rPr>
      </w:pPr>
      <w:r>
        <w:rPr>
          <w:rFonts w:hint="eastAsia"/>
          <w:color w:val="auto"/>
          <w:sz w:val="24"/>
          <w:highlight w:val="none"/>
        </w:rPr>
        <w:t>第二部分</w:t>
      </w:r>
      <w:r>
        <w:rPr>
          <w:rFonts w:hint="eastAsia"/>
          <w:color w:val="auto"/>
          <w:sz w:val="24"/>
          <w:highlight w:val="none"/>
          <w:lang w:val="en-US" w:eastAsia="zh-CN"/>
        </w:rPr>
        <w:t xml:space="preserve"> 2021年度</w:t>
      </w:r>
      <w:r>
        <w:rPr>
          <w:rFonts w:hint="eastAsia"/>
          <w:color w:val="auto"/>
          <w:sz w:val="24"/>
          <w:highlight w:val="none"/>
          <w:lang w:eastAsia="zh-CN"/>
        </w:rPr>
        <w:t>单位</w:t>
      </w:r>
      <w:r>
        <w:rPr>
          <w:rFonts w:hint="eastAsia"/>
          <w:color w:val="auto"/>
          <w:sz w:val="24"/>
          <w:highlight w:val="none"/>
        </w:rPr>
        <w:t>决算情况说明</w:t>
      </w:r>
    </w:p>
    <w:p>
      <w:pPr>
        <w:pStyle w:val="11"/>
        <w:pageBreakBefore w:val="0"/>
        <w:kinsoku/>
        <w:wordWrap/>
        <w:overflowPunct/>
        <w:bidi w:val="0"/>
        <w:adjustRightInd w:val="0"/>
        <w:snapToGrid w:val="0"/>
        <w:spacing w:line="560" w:lineRule="exact"/>
        <w:jc w:val="left"/>
        <w:rPr>
          <w:rFonts w:ascii="仿宋" w:hAnsi="仿宋" w:eastAsia="仿宋" w:cstheme="minorBidi"/>
          <w:color w:val="auto"/>
          <w:sz w:val="24"/>
          <w:highlight w:val="none"/>
        </w:rPr>
      </w:pPr>
      <w:r>
        <w:rPr>
          <w:rFonts w:hint="eastAsia"/>
          <w:color w:val="auto"/>
          <w:sz w:val="24"/>
          <w:highlight w:val="none"/>
        </w:rPr>
        <w:t>一、收入支出决算总体情况说明</w:t>
      </w:r>
    </w:p>
    <w:p>
      <w:pPr>
        <w:pStyle w:val="11"/>
        <w:pageBreakBefore w:val="0"/>
        <w:kinsoku/>
        <w:wordWrap/>
        <w:overflowPunct/>
        <w:bidi w:val="0"/>
        <w:adjustRightInd w:val="0"/>
        <w:snapToGrid w:val="0"/>
        <w:spacing w:line="560" w:lineRule="exact"/>
        <w:jc w:val="left"/>
        <w:rPr>
          <w:rFonts w:ascii="仿宋" w:hAnsi="仿宋" w:eastAsia="仿宋" w:cstheme="minorBidi"/>
          <w:color w:val="auto"/>
          <w:sz w:val="24"/>
          <w:highlight w:val="none"/>
        </w:rPr>
      </w:pPr>
      <w:r>
        <w:rPr>
          <w:rFonts w:hint="eastAsia"/>
          <w:color w:val="auto"/>
          <w:sz w:val="24"/>
          <w:highlight w:val="none"/>
        </w:rPr>
        <w:t>二、收入决算情况说明</w:t>
      </w:r>
    </w:p>
    <w:p>
      <w:pPr>
        <w:pStyle w:val="11"/>
        <w:pageBreakBefore w:val="0"/>
        <w:kinsoku/>
        <w:wordWrap/>
        <w:overflowPunct/>
        <w:bidi w:val="0"/>
        <w:adjustRightInd w:val="0"/>
        <w:snapToGrid w:val="0"/>
        <w:spacing w:line="560" w:lineRule="exact"/>
        <w:jc w:val="left"/>
        <w:rPr>
          <w:rFonts w:ascii="仿宋" w:hAnsi="仿宋" w:eastAsia="仿宋" w:cstheme="minorBidi"/>
          <w:color w:val="auto"/>
          <w:sz w:val="24"/>
          <w:highlight w:val="none"/>
        </w:rPr>
      </w:pPr>
      <w:r>
        <w:rPr>
          <w:rFonts w:hint="eastAsia"/>
          <w:color w:val="auto"/>
          <w:sz w:val="24"/>
          <w:highlight w:val="none"/>
        </w:rPr>
        <w:t>三、支出决算情况说明</w:t>
      </w:r>
    </w:p>
    <w:p>
      <w:pPr>
        <w:pStyle w:val="11"/>
        <w:pageBreakBefore w:val="0"/>
        <w:kinsoku/>
        <w:wordWrap/>
        <w:overflowPunct/>
        <w:bidi w:val="0"/>
        <w:adjustRightInd w:val="0"/>
        <w:snapToGrid w:val="0"/>
        <w:spacing w:line="560" w:lineRule="exact"/>
        <w:jc w:val="left"/>
        <w:rPr>
          <w:rFonts w:ascii="仿宋" w:hAnsi="仿宋" w:eastAsia="仿宋" w:cstheme="minorBidi"/>
          <w:color w:val="auto"/>
          <w:sz w:val="24"/>
          <w:highlight w:val="none"/>
        </w:rPr>
      </w:pPr>
      <w:r>
        <w:rPr>
          <w:rFonts w:hint="eastAsia"/>
          <w:color w:val="auto"/>
          <w:sz w:val="24"/>
          <w:highlight w:val="none"/>
        </w:rPr>
        <w:t>四、财政拨款收入支出决算总体情况说明</w:t>
      </w:r>
    </w:p>
    <w:p>
      <w:pPr>
        <w:pStyle w:val="11"/>
        <w:pageBreakBefore w:val="0"/>
        <w:kinsoku/>
        <w:wordWrap/>
        <w:overflowPunct/>
        <w:bidi w:val="0"/>
        <w:adjustRightInd w:val="0"/>
        <w:snapToGrid w:val="0"/>
        <w:spacing w:line="560" w:lineRule="exact"/>
        <w:jc w:val="left"/>
        <w:rPr>
          <w:rFonts w:ascii="仿宋" w:hAnsi="仿宋" w:eastAsia="仿宋" w:cstheme="minorBidi"/>
          <w:color w:val="auto"/>
          <w:sz w:val="24"/>
          <w:highlight w:val="none"/>
        </w:rPr>
      </w:pPr>
      <w:r>
        <w:rPr>
          <w:rFonts w:hint="eastAsia"/>
          <w:color w:val="auto"/>
          <w:sz w:val="24"/>
          <w:highlight w:val="none"/>
        </w:rPr>
        <w:t>五、一般公共预算财政拨款支出决算情况说明</w:t>
      </w:r>
    </w:p>
    <w:p>
      <w:pPr>
        <w:pStyle w:val="11"/>
        <w:pageBreakBefore w:val="0"/>
        <w:kinsoku/>
        <w:wordWrap/>
        <w:overflowPunct/>
        <w:bidi w:val="0"/>
        <w:adjustRightInd w:val="0"/>
        <w:snapToGrid w:val="0"/>
        <w:spacing w:line="560" w:lineRule="exact"/>
        <w:jc w:val="left"/>
        <w:rPr>
          <w:rFonts w:ascii="仿宋" w:hAnsi="仿宋" w:eastAsia="仿宋" w:cstheme="minorBidi"/>
          <w:color w:val="auto"/>
          <w:sz w:val="24"/>
          <w:highlight w:val="none"/>
        </w:rPr>
      </w:pPr>
      <w:r>
        <w:rPr>
          <w:rFonts w:hint="eastAsia"/>
          <w:color w:val="auto"/>
          <w:sz w:val="24"/>
          <w:highlight w:val="none"/>
        </w:rPr>
        <w:t>六、一般公共预算财政拨款基本支出决算情况说明</w:t>
      </w:r>
    </w:p>
    <w:p>
      <w:pPr>
        <w:pStyle w:val="11"/>
        <w:pageBreakBefore w:val="0"/>
        <w:kinsoku/>
        <w:wordWrap/>
        <w:overflowPunct/>
        <w:bidi w:val="0"/>
        <w:adjustRightInd w:val="0"/>
        <w:snapToGrid w:val="0"/>
        <w:spacing w:line="560" w:lineRule="exact"/>
        <w:jc w:val="left"/>
        <w:rPr>
          <w:rFonts w:ascii="仿宋" w:hAnsi="仿宋" w:eastAsia="仿宋" w:cstheme="minorBidi"/>
          <w:color w:val="auto"/>
          <w:sz w:val="24"/>
          <w:highlight w:val="none"/>
        </w:rPr>
      </w:pPr>
      <w:r>
        <w:rPr>
          <w:rFonts w:hint="eastAsia"/>
          <w:color w:val="auto"/>
          <w:sz w:val="24"/>
          <w:highlight w:val="none"/>
        </w:rPr>
        <w:t>七、</w:t>
      </w:r>
      <w:r>
        <w:rPr>
          <w:rFonts w:hint="eastAsia"/>
          <w:color w:val="auto"/>
          <w:sz w:val="24"/>
          <w:highlight w:val="none"/>
          <w:lang w:eastAsia="zh-CN"/>
        </w:rPr>
        <w:t>“</w:t>
      </w:r>
      <w:r>
        <w:rPr>
          <w:rFonts w:hint="eastAsia"/>
          <w:color w:val="auto"/>
          <w:sz w:val="24"/>
          <w:highlight w:val="none"/>
        </w:rPr>
        <w:t>三公”经费财政拨款支出决算情况说明</w:t>
      </w:r>
    </w:p>
    <w:p>
      <w:pPr>
        <w:pStyle w:val="11"/>
        <w:pageBreakBefore w:val="0"/>
        <w:kinsoku/>
        <w:wordWrap/>
        <w:overflowPunct/>
        <w:bidi w:val="0"/>
        <w:adjustRightInd w:val="0"/>
        <w:snapToGrid w:val="0"/>
        <w:spacing w:line="560" w:lineRule="exact"/>
        <w:jc w:val="left"/>
        <w:rPr>
          <w:rFonts w:ascii="仿宋" w:hAnsi="仿宋" w:eastAsia="仿宋" w:cstheme="minorBidi"/>
          <w:color w:val="auto"/>
          <w:sz w:val="24"/>
          <w:highlight w:val="none"/>
        </w:rPr>
      </w:pPr>
      <w:r>
        <w:rPr>
          <w:rFonts w:hint="eastAsia"/>
          <w:color w:val="auto"/>
          <w:sz w:val="24"/>
          <w:highlight w:val="none"/>
        </w:rPr>
        <w:t>八、政府性基金预算支出决算情况说明</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九、国有资本经营预算支出决算情况说明</w:t>
      </w:r>
    </w:p>
    <w:p>
      <w:pPr>
        <w:pStyle w:val="11"/>
        <w:pageBreakBefore w:val="0"/>
        <w:kinsoku/>
        <w:wordWrap/>
        <w:overflowPunct/>
        <w:bidi w:val="0"/>
        <w:adjustRightInd w:val="0"/>
        <w:snapToGrid w:val="0"/>
        <w:spacing w:line="560" w:lineRule="exact"/>
        <w:jc w:val="left"/>
        <w:rPr>
          <w:rFonts w:hint="eastAsia"/>
          <w:color w:val="auto"/>
          <w:sz w:val="24"/>
          <w:highlight w:val="none"/>
          <w:lang w:eastAsia="zh-CN"/>
        </w:rPr>
      </w:pPr>
      <w:r>
        <w:rPr>
          <w:rFonts w:hint="eastAsia"/>
          <w:color w:val="auto"/>
          <w:sz w:val="24"/>
          <w:highlight w:val="none"/>
        </w:rPr>
        <w:t>十、其他重要事项的情况说明</w:t>
      </w:r>
    </w:p>
    <w:p>
      <w:pPr>
        <w:pStyle w:val="10"/>
        <w:pageBreakBefore w:val="0"/>
        <w:kinsoku/>
        <w:wordWrap/>
        <w:overflowPunct/>
        <w:bidi w:val="0"/>
        <w:adjustRightInd w:val="0"/>
        <w:snapToGrid w:val="0"/>
        <w:spacing w:before="0" w:line="560" w:lineRule="exact"/>
        <w:jc w:val="left"/>
        <w:rPr>
          <w:rFonts w:cstheme="minorBidi"/>
          <w:color w:val="auto"/>
          <w:sz w:val="24"/>
          <w:szCs w:val="24"/>
          <w:highlight w:val="none"/>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p>
    <w:p>
      <w:pPr>
        <w:pStyle w:val="10"/>
        <w:pageBreakBefore w:val="0"/>
        <w:kinsoku/>
        <w:wordWrap/>
        <w:overflowPunct/>
        <w:bidi w:val="0"/>
        <w:adjustRightInd w:val="0"/>
        <w:snapToGrid w:val="0"/>
        <w:spacing w:before="0" w:line="560" w:lineRule="exact"/>
        <w:jc w:val="left"/>
        <w:rPr>
          <w:rFonts w:cstheme="minorBidi"/>
          <w:color w:val="auto"/>
          <w:sz w:val="24"/>
          <w:szCs w:val="24"/>
          <w:highlight w:val="none"/>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p>
    <w:p>
      <w:pPr>
        <w:pStyle w:val="10"/>
        <w:pageBreakBefore w:val="0"/>
        <w:kinsoku/>
        <w:wordWrap/>
        <w:overflowPunct/>
        <w:bidi w:val="0"/>
        <w:adjustRightInd w:val="0"/>
        <w:snapToGrid w:val="0"/>
        <w:spacing w:before="0" w:line="560" w:lineRule="exact"/>
        <w:jc w:val="left"/>
        <w:rPr>
          <w:rFonts w:cstheme="minorBidi"/>
          <w:color w:val="auto"/>
          <w:sz w:val="24"/>
          <w:szCs w:val="24"/>
          <w:highlight w:val="none"/>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一、收入支出决算总表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二、收入决算表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三、支出决算表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四、财政拨款收入支出决算总表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五、财政拨款支出决算明细表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六、一般公共预算财政拨款支出决算表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七、一般公共预算财政拨款支出决算明细表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八、一般公共预算财政拨款基本支出决算表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九、一般公共预算财政拨款项目支出决算表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十、一般公共预算财政拨款“三公”经费支出决算表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十一、政府性基金预算财政拨款收入支出决算表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十二、政府性基金预算财政拨款“三公”经费支出决算表</w:t>
      </w:r>
    </w:p>
    <w:p>
      <w:pPr>
        <w:pStyle w:val="11"/>
        <w:pageBreakBefore w:val="0"/>
        <w:kinsoku/>
        <w:wordWrap/>
        <w:overflowPunct/>
        <w:bidi w:val="0"/>
        <w:adjustRightInd w:val="0"/>
        <w:snapToGrid w:val="0"/>
        <w:spacing w:line="560" w:lineRule="exact"/>
        <w:jc w:val="left"/>
        <w:rPr>
          <w:rFonts w:hint="eastAsia"/>
          <w:color w:val="auto"/>
          <w:sz w:val="24"/>
          <w:highlight w:val="none"/>
        </w:rPr>
      </w:pPr>
      <w:r>
        <w:rPr>
          <w:rFonts w:hint="eastAsia"/>
          <w:color w:val="auto"/>
          <w:sz w:val="24"/>
          <w:highlight w:val="none"/>
        </w:rPr>
        <w:t>十三、国有资本经营预算</w:t>
      </w:r>
      <w:r>
        <w:rPr>
          <w:rFonts w:hint="eastAsia"/>
          <w:color w:val="auto"/>
          <w:sz w:val="24"/>
          <w:highlight w:val="none"/>
          <w:lang w:eastAsia="zh-CN"/>
        </w:rPr>
        <w:t>财政拨款收入</w:t>
      </w:r>
      <w:r>
        <w:rPr>
          <w:rFonts w:hint="eastAsia"/>
          <w:color w:val="auto"/>
          <w:sz w:val="24"/>
          <w:highlight w:val="none"/>
        </w:rPr>
        <w:t>支出决算表</w:t>
      </w:r>
    </w:p>
    <w:p>
      <w:pPr>
        <w:pStyle w:val="11"/>
        <w:pageBreakBefore w:val="0"/>
        <w:kinsoku/>
        <w:wordWrap/>
        <w:overflowPunct/>
        <w:bidi w:val="0"/>
        <w:adjustRightInd w:val="0"/>
        <w:snapToGrid w:val="0"/>
        <w:spacing w:line="560" w:lineRule="exact"/>
        <w:jc w:val="left"/>
        <w:rPr>
          <w:rFonts w:hint="default"/>
          <w:color w:val="auto"/>
          <w:sz w:val="24"/>
          <w:highlight w:val="none"/>
          <w:lang w:val="en-US" w:eastAsia="zh-CN"/>
        </w:rPr>
      </w:pPr>
      <w:r>
        <w:rPr>
          <w:rFonts w:hint="eastAsia"/>
          <w:color w:val="auto"/>
          <w:sz w:val="24"/>
          <w:highlight w:val="none"/>
          <w:lang w:val="en-US" w:eastAsia="zh-CN"/>
        </w:rPr>
        <w:t>十四、国有资本经营预算财政拨款支出决算表</w:t>
      </w:r>
    </w:p>
    <w:p>
      <w:pPr>
        <w:pageBreakBefore w:val="0"/>
        <w:widowControl/>
        <w:kinsoku/>
        <w:wordWrap/>
        <w:overflowPunct/>
        <w:bidi w:val="0"/>
        <w:adjustRightInd w:val="0"/>
        <w:snapToGrid w:val="0"/>
        <w:spacing w:line="560" w:lineRule="exact"/>
        <w:ind w:firstLine="1320" w:firstLineChars="550"/>
        <w:jc w:val="left"/>
        <w:rPr>
          <w:rFonts w:ascii="仿宋" w:hAnsi="仿宋" w:eastAsia="仿宋"/>
          <w:color w:val="auto"/>
          <w:sz w:val="24"/>
          <w:highlight w:val="none"/>
        </w:rPr>
      </w:pPr>
      <w:r>
        <w:rPr>
          <w:rFonts w:ascii="仿宋" w:hAnsi="仿宋" w:eastAsia="仿宋"/>
          <w:color w:val="auto"/>
          <w:sz w:val="24"/>
          <w:highlight w:val="none"/>
        </w:rPr>
        <w:t>(注：</w:t>
      </w:r>
      <w:r>
        <w:rPr>
          <w:rFonts w:hint="eastAsia" w:ascii="仿宋" w:hAnsi="仿宋" w:eastAsia="仿宋"/>
          <w:color w:val="auto"/>
          <w:sz w:val="24"/>
          <w:highlight w:val="none"/>
        </w:rPr>
        <w:t>请</w:t>
      </w:r>
      <w:r>
        <w:rPr>
          <w:rFonts w:hint="eastAsia" w:ascii="仿宋" w:hAnsi="仿宋" w:eastAsia="仿宋"/>
          <w:color w:val="auto"/>
          <w:sz w:val="24"/>
          <w:highlight w:val="none"/>
          <w:lang w:eastAsia="zh-CN"/>
        </w:rPr>
        <w:t>单位</w:t>
      </w:r>
      <w:r>
        <w:rPr>
          <w:rFonts w:hint="eastAsia" w:ascii="仿宋" w:hAnsi="仿宋" w:eastAsia="仿宋"/>
          <w:color w:val="auto"/>
          <w:sz w:val="24"/>
          <w:highlight w:val="none"/>
        </w:rPr>
        <w:t>根据实际注明页码</w:t>
      </w:r>
      <w:r>
        <w:rPr>
          <w:rFonts w:ascii="仿宋" w:hAnsi="仿宋" w:eastAsia="仿宋"/>
          <w:color w:val="auto"/>
          <w:sz w:val="24"/>
          <w:highlight w:val="none"/>
        </w:rPr>
        <w:t>)</w:t>
      </w:r>
    </w:p>
    <w:p>
      <w:pPr>
        <w:pageBreakBefore w:val="0"/>
        <w:widowControl/>
        <w:kinsoku/>
        <w:wordWrap/>
        <w:overflowPunct/>
        <w:bidi w:val="0"/>
        <w:spacing w:line="560" w:lineRule="exact"/>
        <w:jc w:val="left"/>
        <w:rPr>
          <w:rFonts w:ascii="仿宋" w:hAnsi="仿宋" w:eastAsia="仿宋"/>
          <w:bCs/>
          <w:color w:val="auto"/>
          <w:kern w:val="44"/>
          <w:sz w:val="24"/>
          <w:highlight w:val="none"/>
        </w:rPr>
      </w:pPr>
      <w:bookmarkStart w:id="12" w:name="_Toc15377196"/>
      <w:bookmarkStart w:id="13" w:name="_Toc15396599"/>
      <w:r>
        <w:rPr>
          <w:rFonts w:ascii="仿宋" w:hAnsi="仿宋" w:eastAsia="仿宋"/>
          <w:b/>
          <w:color w:val="auto"/>
          <w:sz w:val="24"/>
          <w:highlight w:val="none"/>
        </w:rPr>
        <w:br w:type="page"/>
      </w:r>
    </w:p>
    <w:p>
      <w:pPr>
        <w:pStyle w:val="3"/>
        <w:pageBreakBefore w:val="0"/>
        <w:kinsoku/>
        <w:wordWrap/>
        <w:overflowPunct/>
        <w:bidi w:val="0"/>
        <w:spacing w:line="560" w:lineRule="exact"/>
        <w:jc w:val="center"/>
        <w:rPr>
          <w:rFonts w:ascii="黑体" w:eastAsia="黑体"/>
          <w:color w:val="auto"/>
          <w:sz w:val="32"/>
          <w:szCs w:val="32"/>
          <w:highlight w:val="none"/>
        </w:rPr>
      </w:pPr>
      <w:r>
        <w:rPr>
          <w:rFonts w:hint="eastAsia" w:ascii="黑体" w:hAnsi="黑体" w:eastAsia="黑体"/>
          <w:b w:val="0"/>
          <w:color w:val="auto"/>
          <w:highlight w:val="none"/>
        </w:rPr>
        <w:t xml:space="preserve">第一部分 </w:t>
      </w:r>
      <w:r>
        <w:rPr>
          <w:rFonts w:hint="eastAsia" w:ascii="黑体" w:hAnsi="黑体" w:eastAsia="黑体"/>
          <w:b w:val="0"/>
          <w:color w:val="auto"/>
          <w:highlight w:val="none"/>
          <w:lang w:eastAsia="zh-CN"/>
        </w:rPr>
        <w:t>单位</w:t>
      </w:r>
      <w:r>
        <w:rPr>
          <w:rStyle w:val="24"/>
          <w:rFonts w:hint="eastAsia" w:ascii="黑体" w:hAnsi="黑体" w:eastAsia="黑体"/>
          <w:b w:val="0"/>
          <w:bCs w:val="0"/>
          <w:color w:val="auto"/>
          <w:highlight w:val="none"/>
        </w:rPr>
        <w:t>概况</w:t>
      </w:r>
      <w:bookmarkEnd w:id="12"/>
      <w:bookmarkEnd w:id="13"/>
    </w:p>
    <w:p>
      <w:pPr>
        <w:pStyle w:val="4"/>
        <w:pageBreakBefore w:val="0"/>
        <w:numPr>
          <w:ilvl w:val="0"/>
          <w:numId w:val="1"/>
        </w:numPr>
        <w:kinsoku/>
        <w:wordWrap/>
        <w:overflowPunct/>
        <w:bidi w:val="0"/>
        <w:spacing w:line="560" w:lineRule="exact"/>
        <w:ind w:firstLine="960" w:firstLineChars="300"/>
        <w:rPr>
          <w:rStyle w:val="25"/>
          <w:rFonts w:hint="eastAsia" w:ascii="黑体" w:hAnsi="黑体" w:eastAsia="黑体"/>
          <w:b w:val="0"/>
          <w:bCs w:val="0"/>
          <w:color w:val="auto"/>
          <w:highlight w:val="none"/>
          <w:lang w:eastAsia="zh-CN"/>
        </w:rPr>
      </w:pPr>
      <w:bookmarkStart w:id="14" w:name="_Toc15396600"/>
      <w:bookmarkStart w:id="15" w:name="_Toc15377197"/>
      <w:r>
        <w:rPr>
          <w:rStyle w:val="25"/>
          <w:rFonts w:hint="eastAsia" w:ascii="黑体" w:hAnsi="黑体" w:eastAsia="黑体"/>
          <w:b w:val="0"/>
          <w:bCs w:val="0"/>
          <w:color w:val="auto"/>
          <w:highlight w:val="none"/>
        </w:rPr>
        <w:t>职能</w:t>
      </w:r>
      <w:r>
        <w:rPr>
          <w:rStyle w:val="25"/>
          <w:rFonts w:hint="eastAsia" w:ascii="黑体" w:hAnsi="黑体" w:eastAsia="黑体"/>
          <w:b w:val="0"/>
          <w:bCs w:val="0"/>
          <w:color w:val="auto"/>
          <w:highlight w:val="none"/>
          <w:lang w:eastAsia="zh-CN"/>
        </w:rPr>
        <w:t>简介</w:t>
      </w:r>
      <w:bookmarkStart w:id="16" w:name="_Toc15378445"/>
      <w:bookmarkStart w:id="17" w:name="_Toc15377198"/>
    </w:p>
    <w:p>
      <w:pPr>
        <w:pStyle w:val="4"/>
        <w:pageBreakBefore w:val="0"/>
        <w:numPr>
          <w:ilvl w:val="0"/>
          <w:numId w:val="0"/>
        </w:numPr>
        <w:kinsoku/>
        <w:wordWrap/>
        <w:overflowPunct/>
        <w:bidi w:val="0"/>
        <w:spacing w:line="560" w:lineRule="exact"/>
        <w:ind w:firstLine="643" w:firstLineChars="200"/>
        <w:rPr>
          <w:rFonts w:hint="eastAsia" w:ascii="仿宋" w:hAnsi="仿宋" w:eastAsia="仿宋"/>
          <w:bCs/>
          <w:color w:val="000000"/>
          <w:sz w:val="32"/>
          <w:szCs w:val="32"/>
        </w:rPr>
      </w:pPr>
      <w:r>
        <w:rPr>
          <w:rFonts w:hint="eastAsia" w:ascii="仿宋" w:hAnsi="仿宋" w:eastAsia="仿宋"/>
          <w:bCs/>
          <w:color w:val="000000"/>
          <w:sz w:val="32"/>
          <w:szCs w:val="32"/>
        </w:rPr>
        <w:t>（一）主要职能。</w:t>
      </w:r>
      <w:bookmarkEnd w:id="16"/>
      <w:bookmarkEnd w:id="17"/>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（1）贯彻党的妇女儿童方针、政策，坚持正确的政治方向，团结、教育全市广大妇女以及各类妇女组织同党中央在思想、政治上、行动上保持高度一致。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（2）紧密围绕党和政府的中心任务开展工作，团结、动员、组织广大妇女积极投身五个文明建设，促进经济发展和社会进步，为维护改革发展稳定的大局服务。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3）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4）代表妇女参与国家和社会事务的民主管理和民主监督；宣传、贯彻执行有关妇女儿童的法律、法规；组织调查研究涉及妇女切身利益的热点、难点问题，及时向党和政府反映社情民情，提出对策建议；参与有关妇女儿童政策和行政措施的制定，维护妇女儿童合法权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（5）组织指导各级妇联开展为妇女儿童服务工作，加强与社会各界的联系，协调推动全社会为妇女儿童办实事、办好事。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6）指导妇联依据《章程》和妇女代表大会的决议，开展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（7）承担市妇女儿童工作委员会办公室的工作。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bCs/>
          <w:color w:val="000000"/>
          <w:sz w:val="32"/>
          <w:szCs w:val="32"/>
        </w:rPr>
      </w:pPr>
      <w:r>
        <w:rPr>
          <w:rFonts w:hint="eastAsia" w:ascii="仿宋_GB2312" w:hAnsi="仿宋" w:eastAsia="仿宋_GB2312"/>
          <w:sz w:val="32"/>
          <w:szCs w:val="32"/>
        </w:rPr>
        <w:t>（8）承办市委、市政府交办的有关事项。</w:t>
      </w:r>
    </w:p>
    <w:p>
      <w:pPr>
        <w:pStyle w:val="4"/>
        <w:pageBreakBefore w:val="0"/>
        <w:numPr>
          <w:ilvl w:val="0"/>
          <w:numId w:val="0"/>
        </w:numPr>
        <w:kinsoku/>
        <w:wordWrap/>
        <w:overflowPunct/>
        <w:bidi w:val="0"/>
        <w:spacing w:line="560" w:lineRule="exact"/>
        <w:ind w:firstLine="640" w:firstLineChars="200"/>
        <w:rPr>
          <w:rStyle w:val="25"/>
          <w:rFonts w:hint="eastAsia" w:ascii="黑体" w:hAnsi="黑体" w:eastAsia="黑体"/>
          <w:b w:val="0"/>
          <w:bCs w:val="0"/>
          <w:color w:val="auto"/>
          <w:highlight w:val="none"/>
        </w:rPr>
      </w:pPr>
      <w:r>
        <w:rPr>
          <w:rStyle w:val="25"/>
          <w:rFonts w:hint="eastAsia" w:ascii="黑体" w:hAnsi="黑体" w:eastAsia="黑体"/>
          <w:b w:val="0"/>
          <w:bCs w:val="0"/>
          <w:color w:val="auto"/>
          <w:highlight w:val="none"/>
          <w:lang w:val="en-US" w:eastAsia="zh-CN"/>
        </w:rPr>
        <w:t>二、2021年重点</w:t>
      </w:r>
      <w:r>
        <w:rPr>
          <w:rStyle w:val="25"/>
          <w:rFonts w:hint="eastAsia" w:ascii="黑体" w:hAnsi="黑体" w:eastAsia="黑体"/>
          <w:b w:val="0"/>
          <w:bCs w:val="0"/>
          <w:color w:val="auto"/>
          <w:highlight w:val="none"/>
        </w:rPr>
        <w:t>工作</w:t>
      </w:r>
      <w:bookmarkEnd w:id="14"/>
      <w:bookmarkEnd w:id="15"/>
      <w:r>
        <w:rPr>
          <w:rStyle w:val="25"/>
          <w:rFonts w:hint="eastAsia" w:ascii="黑体" w:hAnsi="黑体" w:eastAsia="黑体"/>
          <w:b w:val="0"/>
          <w:bCs w:val="0"/>
          <w:color w:val="auto"/>
          <w:highlight w:val="none"/>
          <w:lang w:eastAsia="zh-CN"/>
        </w:rPr>
        <w:t>完成情况</w:t>
      </w:r>
    </w:p>
    <w:p>
      <w:pPr>
        <w:keepNext w:val="0"/>
        <w:keepLines w:val="0"/>
        <w:pageBreakBefore w:val="0"/>
        <w:widowControl/>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市妇联始终</w:t>
      </w:r>
      <w:r>
        <w:rPr>
          <w:rFonts w:hint="eastAsia" w:ascii="仿宋_GB2312" w:hAnsi="仿宋_GB2312" w:eastAsia="仿宋_GB2312" w:cs="仿宋_GB2312"/>
          <w:color w:val="000000"/>
          <w:sz w:val="32"/>
          <w:szCs w:val="32"/>
        </w:rPr>
        <w:t>坚持以习近平新时代中国特色社会主义思想为指导，</w:t>
      </w:r>
      <w:r>
        <w:rPr>
          <w:rFonts w:hint="eastAsia" w:ascii="仿宋_GB2312" w:hAnsi="仿宋_GB2312" w:eastAsia="仿宋_GB2312" w:cs="仿宋_GB2312"/>
          <w:color w:val="000000"/>
          <w:sz w:val="32"/>
          <w:szCs w:val="32"/>
          <w:lang w:eastAsia="zh-CN"/>
        </w:rPr>
        <w:t>在市委的坚强领导和省妇联精心指导下</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i w:val="0"/>
          <w:caps w:val="0"/>
          <w:color w:val="000000"/>
          <w:spacing w:val="0"/>
          <w:w w:val="100"/>
          <w:sz w:val="32"/>
          <w:szCs w:val="32"/>
          <w:lang w:eastAsia="zh-CN"/>
        </w:rPr>
        <w:t>各项工作在创新中发展、在突破中深化，生动诠释新时代巾帼“工匠精神”，</w:t>
      </w:r>
      <w:r>
        <w:rPr>
          <w:rFonts w:hint="eastAsia" w:ascii="仿宋_GB2312" w:hAnsi="仿宋_GB2312" w:eastAsia="仿宋_GB2312" w:cs="仿宋_GB2312"/>
          <w:b w:val="0"/>
          <w:bCs w:val="0"/>
          <w:color w:val="000000"/>
          <w:sz w:val="32"/>
          <w:szCs w:val="32"/>
          <w:lang w:eastAsia="zh-CN"/>
        </w:rPr>
        <w:t>圆满完成了年度目标任务，有效服务全市经济社会发展，</w:t>
      </w:r>
      <w:r>
        <w:rPr>
          <w:rFonts w:hint="eastAsia" w:ascii="仿宋_GB2312" w:hAnsi="仿宋_GB2312" w:eastAsia="仿宋_GB2312" w:cs="仿宋_GB2312"/>
          <w:b w:val="0"/>
          <w:i w:val="0"/>
          <w:caps w:val="0"/>
          <w:color w:val="000000"/>
          <w:spacing w:val="0"/>
          <w:w w:val="100"/>
          <w:sz w:val="32"/>
          <w:szCs w:val="32"/>
          <w:lang w:eastAsia="zh-CN"/>
        </w:rPr>
        <w:t>赢得人民群众的高度好评</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color w:val="000000"/>
          <w:sz w:val="32"/>
          <w:szCs w:val="32"/>
        </w:rPr>
        <w:t>成功打造首个“四川省家风家教实践基地”，</w:t>
      </w:r>
      <w:r>
        <w:rPr>
          <w:rFonts w:hint="eastAsia" w:ascii="仿宋_GB2312" w:hAnsi="仿宋_GB2312" w:eastAsia="仿宋_GB2312" w:cs="仿宋_GB2312"/>
          <w:color w:val="000000"/>
          <w:sz w:val="32"/>
          <w:szCs w:val="32"/>
          <w:lang w:eastAsia="zh-CN"/>
        </w:rPr>
        <w:t>成功承办川渝妇女儿童公益项目大赛，荣获</w:t>
      </w:r>
      <w:r>
        <w:rPr>
          <w:rFonts w:hint="eastAsia" w:ascii="仿宋_GB2312" w:hAnsi="仿宋_GB2312" w:eastAsia="仿宋_GB2312" w:cs="仿宋_GB2312"/>
          <w:color w:val="000000"/>
          <w:sz w:val="32"/>
          <w:szCs w:val="32"/>
          <w:lang w:val="en-US" w:eastAsia="zh-CN"/>
        </w:rPr>
        <w:t>庆祝中国共产党成立100周年活动作出突出贡献奖、全国双拥模范城工作先进集体、全国文明城市建设工作先进集体、全省妇联基层组织建设先进集体、双创工作先进单位等荣誉称号。</w:t>
      </w:r>
      <w:r>
        <w:rPr>
          <w:rFonts w:hint="eastAsia" w:ascii="仿宋_GB2312" w:hAnsi="仿宋_GB2312" w:eastAsia="仿宋_GB2312" w:cs="仿宋_GB2312"/>
          <w:b w:val="0"/>
          <w:bCs w:val="0"/>
          <w:color w:val="000000"/>
          <w:sz w:val="32"/>
          <w:szCs w:val="32"/>
          <w:lang w:val="en-US" w:eastAsia="zh-CN"/>
        </w:rPr>
        <w:t>同时，向上争取项目资金取得新突破，合计争取项目4个资金 141万元。</w:t>
      </w:r>
    </w:p>
    <w:p>
      <w:pPr>
        <w:keepNext w:val="0"/>
        <w:keepLines w:val="0"/>
        <w:pageBreakBefore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spacing w:line="560" w:lineRule="exact"/>
        <w:ind w:firstLine="640" w:firstLineChars="200"/>
        <w:textAlignment w:val="top"/>
        <w:rPr>
          <w:rFonts w:hint="eastAsia" w:ascii="仿宋_GB2312" w:hAnsi="仿宋_GB2312" w:eastAsia="仿宋_GB2312" w:cs="仿宋_GB2312"/>
          <w:sz w:val="32"/>
          <w:szCs w:val="32"/>
        </w:rPr>
      </w:pPr>
      <w:r>
        <w:rPr>
          <w:rFonts w:hint="eastAsia" w:ascii="楷体_GB2312" w:hAnsi="楷体_GB2312" w:eastAsia="楷体_GB2312" w:cs="楷体_GB2312"/>
          <w:b w:val="0"/>
          <w:bCs/>
          <w:sz w:val="32"/>
          <w:szCs w:val="32"/>
          <w:shd w:val="clear" w:color="auto" w:fill="FFFFFF"/>
          <w:lang w:val="en-US" w:eastAsia="zh-CN"/>
        </w:rPr>
        <w:t>（一）加强思想引领，建强基层</w:t>
      </w:r>
      <w:r>
        <w:rPr>
          <w:rFonts w:hint="eastAsia" w:ascii="楷体_GB2312" w:hAnsi="楷体_GB2312" w:eastAsia="楷体_GB2312" w:cs="楷体_GB2312"/>
          <w:b w:val="0"/>
          <w:bCs/>
          <w:sz w:val="32"/>
          <w:szCs w:val="32"/>
          <w:lang w:eastAsia="zh-CN"/>
        </w:rPr>
        <w:t>妇儿</w:t>
      </w:r>
      <w:r>
        <w:rPr>
          <w:rFonts w:hint="eastAsia" w:ascii="楷体_GB2312" w:hAnsi="楷体_GB2312" w:eastAsia="楷体_GB2312" w:cs="楷体_GB2312"/>
          <w:b w:val="0"/>
          <w:bCs/>
          <w:sz w:val="32"/>
          <w:szCs w:val="32"/>
          <w:shd w:val="clear" w:color="auto" w:fill="FFFFFF"/>
          <w:lang w:val="en-US" w:eastAsia="zh-CN"/>
        </w:rPr>
        <w:t>组织。</w:t>
      </w:r>
      <w:r>
        <w:rPr>
          <w:rFonts w:hint="eastAsia" w:ascii="仿宋_GB2312" w:hAnsi="黑体" w:eastAsia="仿宋_GB2312" w:cs="Times New Roman"/>
          <w:sz w:val="32"/>
          <w:szCs w:val="32"/>
          <w:lang w:val="en-US" w:eastAsia="zh-CN"/>
        </w:rPr>
        <w:t>一是</w:t>
      </w:r>
      <w:r>
        <w:rPr>
          <w:rFonts w:hint="eastAsia" w:ascii="仿宋_GB2312" w:hAnsi="黑体" w:eastAsia="仿宋_GB2312" w:cs="Times New Roman"/>
          <w:sz w:val="32"/>
          <w:szCs w:val="32"/>
        </w:rPr>
        <w:t>扎实</w:t>
      </w:r>
      <w:r>
        <w:rPr>
          <w:rFonts w:hint="eastAsia" w:ascii="仿宋_GB2312" w:eastAsia="仿宋_GB2312"/>
          <w:sz w:val="32"/>
          <w:szCs w:val="32"/>
        </w:rPr>
        <w:t>开展党史学习教育</w:t>
      </w:r>
      <w:r>
        <w:rPr>
          <w:rFonts w:hint="eastAsia" w:ascii="仿宋_GB2312" w:hAnsi="Calibri" w:eastAsia="仿宋_GB2312" w:cs="Times New Roman"/>
          <w:spacing w:val="-10"/>
          <w:kern w:val="2"/>
          <w:sz w:val="32"/>
          <w:szCs w:val="32"/>
        </w:rPr>
        <w:t>和“</w:t>
      </w:r>
      <w:r>
        <w:rPr>
          <w:rFonts w:hint="eastAsia" w:ascii="仿宋_GB2312" w:eastAsia="仿宋_GB2312" w:cs="Times New Roman"/>
          <w:spacing w:val="-10"/>
          <w:kern w:val="2"/>
          <w:sz w:val="32"/>
          <w:szCs w:val="32"/>
          <w:lang w:eastAsia="zh-CN"/>
        </w:rPr>
        <w:t>问题大排查、作风大整治、工作大提升</w:t>
      </w:r>
      <w:r>
        <w:rPr>
          <w:rFonts w:hint="eastAsia" w:ascii="仿宋_GB2312" w:hAnsi="Calibri" w:eastAsia="仿宋_GB2312" w:cs="Times New Roman"/>
          <w:spacing w:val="-10"/>
          <w:kern w:val="2"/>
          <w:sz w:val="32"/>
          <w:szCs w:val="32"/>
        </w:rPr>
        <w:t>”</w:t>
      </w:r>
      <w:r>
        <w:rPr>
          <w:rFonts w:hint="eastAsia" w:ascii="仿宋_GB2312" w:eastAsia="仿宋_GB2312" w:cs="Times New Roman"/>
          <w:spacing w:val="-10"/>
          <w:kern w:val="2"/>
          <w:sz w:val="32"/>
          <w:szCs w:val="32"/>
          <w:lang w:eastAsia="zh-CN"/>
        </w:rPr>
        <w:t>专项行动</w:t>
      </w:r>
      <w:r>
        <w:rPr>
          <w:rFonts w:hint="eastAsia" w:ascii="仿宋_GB2312" w:eastAsia="仿宋_GB2312"/>
          <w:sz w:val="32"/>
          <w:szCs w:val="32"/>
        </w:rPr>
        <w:t>，</w:t>
      </w:r>
      <w:r>
        <w:rPr>
          <w:rFonts w:hint="eastAsia" w:ascii="仿宋_GB2312" w:eastAsia="仿宋_GB2312"/>
          <w:sz w:val="32"/>
          <w:szCs w:val="32"/>
          <w:lang w:eastAsia="zh-CN"/>
        </w:rPr>
        <w:t>持续实施</w:t>
      </w:r>
      <w:r>
        <w:rPr>
          <w:rFonts w:hint="eastAsia" w:ascii="仿宋_GB2312" w:hAnsi="仿宋_GB2312" w:eastAsia="仿宋_GB2312" w:cs="仿宋_GB2312"/>
          <w:sz w:val="32"/>
          <w:szCs w:val="32"/>
          <w:shd w:val="clear" w:color="auto" w:fill="FFFFFF"/>
        </w:rPr>
        <w:t>“巾帼心向党 建功新时代”</w:t>
      </w:r>
      <w:r>
        <w:rPr>
          <w:rFonts w:hint="eastAsia" w:ascii="仿宋_GB2312" w:hAnsi="仿宋_GB2312" w:eastAsia="仿宋_GB2312" w:cs="仿宋_GB2312"/>
          <w:sz w:val="32"/>
          <w:szCs w:val="32"/>
        </w:rPr>
        <w:t>宣讲</w:t>
      </w:r>
      <w:r>
        <w:rPr>
          <w:rFonts w:hint="eastAsia" w:ascii="仿宋_GB2312" w:hAnsi="仿宋_GB2312" w:eastAsia="仿宋_GB2312" w:cs="仿宋_GB2312"/>
          <w:sz w:val="32"/>
          <w:szCs w:val="32"/>
          <w:lang w:eastAsia="zh-CN"/>
        </w:rPr>
        <w:t>项目</w:t>
      </w:r>
      <w:r>
        <w:rPr>
          <w:rFonts w:hint="eastAsia" w:ascii="仿宋_GB2312" w:eastAsia="仿宋_GB2312"/>
          <w:spacing w:val="-10"/>
          <w:sz w:val="32"/>
          <w:szCs w:val="32"/>
        </w:rPr>
        <w:t>，</w:t>
      </w:r>
      <w:r>
        <w:rPr>
          <w:rFonts w:hint="eastAsia" w:ascii="仿宋_GB2312" w:hAnsi="仿宋_GB2312" w:eastAsia="仿宋_GB2312" w:cs="仿宋_GB2312"/>
          <w:sz w:val="32"/>
          <w:szCs w:val="32"/>
        </w:rPr>
        <w:t>通过开展专题党课网络直播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演讲比赛、知识竞赛等主题活动，</w:t>
      </w:r>
      <w:r>
        <w:rPr>
          <w:rFonts w:hint="eastAsia" w:ascii="仿宋_GB2312" w:eastAsia="仿宋_GB2312"/>
          <w:sz w:val="32"/>
          <w:szCs w:val="32"/>
        </w:rPr>
        <w:t>覆盖妇女群众50万余人次。</w:t>
      </w:r>
      <w:r>
        <w:rPr>
          <w:rFonts w:hint="eastAsia" w:ascii="仿宋_GB2312" w:hAnsi="仿宋" w:eastAsia="仿宋_GB2312"/>
          <w:sz w:val="32"/>
          <w:szCs w:val="32"/>
        </w:rPr>
        <w:t>组建“</w:t>
      </w:r>
      <w:r>
        <w:rPr>
          <w:rStyle w:val="30"/>
          <w:rFonts w:hint="eastAsia" w:ascii="仿宋_GB2312" w:eastAsia="仿宋_GB2312" w:cs="宋体"/>
          <w:sz w:val="32"/>
          <w:szCs w:val="32"/>
        </w:rPr>
        <w:t>1+1+</w:t>
      </w:r>
      <w:r>
        <w:rPr>
          <w:rFonts w:hint="eastAsia" w:ascii="仿宋_GB2312" w:eastAsia="仿宋_GB2312"/>
          <w:sz w:val="32"/>
          <w:szCs w:val="32"/>
        </w:rPr>
        <w:t>N”</w:t>
      </w:r>
      <w:r>
        <w:rPr>
          <w:rStyle w:val="30"/>
          <w:rFonts w:hint="eastAsia" w:ascii="仿宋_GB2312" w:eastAsia="仿宋_GB2312" w:cs="宋体"/>
          <w:sz w:val="32"/>
          <w:szCs w:val="32"/>
        </w:rPr>
        <w:t>的网络宣传</w:t>
      </w:r>
      <w:r>
        <w:rPr>
          <w:rFonts w:hint="eastAsia" w:ascii="仿宋_GB2312" w:hAnsi="仿宋" w:eastAsia="仿宋_GB2312"/>
          <w:sz w:val="32"/>
          <w:szCs w:val="32"/>
        </w:rPr>
        <w:t>矩阵，</w:t>
      </w:r>
      <w:r>
        <w:rPr>
          <w:rFonts w:hint="eastAsia" w:ascii="仿宋_GB2312" w:hAnsi="仿宋_GB2312" w:eastAsia="仿宋_GB2312" w:cs="仿宋_GB2312"/>
          <w:sz w:val="32"/>
          <w:szCs w:val="32"/>
        </w:rPr>
        <w:t>实现线上线下“零距离”沟通服务良好格局。</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lang w:val="en-US" w:eastAsia="zh-CN"/>
        </w:rPr>
        <w:t>建立完善妇女儿童服务阵地、在外妇女联络阵地、妇联基层组织阵地。</w:t>
      </w:r>
      <w:r>
        <w:rPr>
          <w:rFonts w:hint="eastAsia" w:ascii="仿宋_GB2312" w:eastAsia="仿宋_GB2312"/>
          <w:sz w:val="32"/>
          <w:szCs w:val="32"/>
        </w:rPr>
        <w:t>联合组织部门印发《关于进一步加强“党建带妇建”不断推进基层党的建设的意见》，</w:t>
      </w:r>
      <w:r>
        <w:rPr>
          <w:rFonts w:hint="eastAsia" w:ascii="仿宋_GB2312" w:hAnsi="仿宋_GB2312" w:eastAsia="仿宋_GB2312" w:cs="仿宋_GB2312"/>
          <w:sz w:val="32"/>
          <w:szCs w:val="32"/>
        </w:rPr>
        <w:t>结合村（社区）换届，实现1445个村（社区）妇联同步换届，选优配强村（社区）妇联执委队伍，选举产生执委19800名。</w:t>
      </w:r>
      <w:r>
        <w:rPr>
          <w:rFonts w:hint="eastAsia" w:ascii="仿宋_GB2312" w:hAnsi="仿宋_GB2312" w:eastAsia="仿宋_GB2312" w:cs="仿宋_GB2312"/>
          <w:sz w:val="32"/>
          <w:szCs w:val="32"/>
          <w:lang w:eastAsia="zh-CN"/>
        </w:rPr>
        <w:t>创建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友好型</w:t>
      </w:r>
      <w:r>
        <w:rPr>
          <w:rFonts w:hint="eastAsia" w:ascii="仿宋_GB2312" w:hAnsi="仿宋_GB2312" w:eastAsia="仿宋_GB2312" w:cs="仿宋_GB2312"/>
          <w:sz w:val="32"/>
          <w:szCs w:val="32"/>
        </w:rPr>
        <w:t>儿童之家”</w:t>
      </w:r>
      <w:r>
        <w:rPr>
          <w:rFonts w:hint="eastAsia" w:ascii="仿宋_GB2312" w:hAnsi="仿宋_GB2312" w:eastAsia="仿宋_GB2312" w:cs="仿宋_GB2312"/>
          <w:sz w:val="32"/>
          <w:szCs w:val="32"/>
          <w:lang w:val="en-US" w:eastAsia="zh-CN"/>
        </w:rPr>
        <w:t>45</w:t>
      </w:r>
      <w:r>
        <w:rPr>
          <w:rFonts w:hint="eastAsia" w:ascii="仿宋_GB2312" w:eastAsia="仿宋_GB2312" w:cs="宋体"/>
          <w:kern w:val="0"/>
          <w:sz w:val="32"/>
          <w:szCs w:val="32"/>
        </w:rPr>
        <w:t>个，</w:t>
      </w:r>
      <w:r>
        <w:rPr>
          <w:rFonts w:hint="eastAsia" w:ascii="仿宋_GB2312" w:hAnsi="仿宋_GB2312" w:eastAsia="仿宋_GB2312" w:cs="仿宋_GB2312"/>
          <w:kern w:val="0"/>
          <w:sz w:val="32"/>
          <w:szCs w:val="32"/>
        </w:rPr>
        <w:t>聚合24家社会组织</w:t>
      </w:r>
      <w:r>
        <w:rPr>
          <w:rFonts w:hint="eastAsia" w:ascii="仿宋_GB2312" w:eastAsia="仿宋_GB2312"/>
          <w:sz w:val="32"/>
          <w:szCs w:val="32"/>
        </w:rPr>
        <w:t>建立“遂宁妇女儿童社会组织联盟”</w:t>
      </w:r>
      <w:r>
        <w:rPr>
          <w:rFonts w:hint="eastAsia" w:ascii="仿宋_GB2312" w:hAnsi="Calibri" w:eastAsia="仿宋_GB2312"/>
          <w:sz w:val="32"/>
          <w:szCs w:val="32"/>
        </w:rPr>
        <w:t>。</w:t>
      </w:r>
    </w:p>
    <w:p>
      <w:pPr>
        <w:keepNext w:val="0"/>
        <w:keepLines w:val="0"/>
        <w:pageBreakBefore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spacing w:line="560" w:lineRule="exact"/>
        <w:ind w:firstLine="640" w:firstLineChars="200"/>
        <w:textAlignment w:val="top"/>
        <w:rPr>
          <w:rFonts w:hint="eastAsia" w:ascii="仿宋_GB2312" w:hAnsi="仿宋_GB2312" w:eastAsia="仿宋_GB2312" w:cs="仿宋_GB2312"/>
          <w:sz w:val="32"/>
          <w:szCs w:val="32"/>
          <w:lang w:eastAsia="zh-CN"/>
        </w:rPr>
      </w:pPr>
      <w:r>
        <w:rPr>
          <w:rFonts w:hint="eastAsia" w:ascii="楷体_GB2312" w:hAnsi="楷体_GB2312" w:eastAsia="楷体_GB2312" w:cs="楷体_GB2312"/>
          <w:b w:val="0"/>
          <w:bCs/>
          <w:sz w:val="32"/>
          <w:szCs w:val="32"/>
          <w:shd w:val="clear" w:color="auto" w:fill="FFFFFF"/>
          <w:lang w:val="en-US" w:eastAsia="zh-CN"/>
        </w:rPr>
        <w:t>（二）弘扬优良家风，推进妇女创业就业。</w:t>
      </w:r>
      <w:r>
        <w:rPr>
          <w:rFonts w:hint="eastAsia" w:ascii="仿宋_GB2312" w:hAnsi="仿宋_GB2312" w:eastAsia="仿宋_GB2312" w:cs="仿宋_GB2312"/>
          <w:sz w:val="32"/>
          <w:szCs w:val="32"/>
          <w:lang w:eastAsia="zh-CN"/>
        </w:rPr>
        <w:t>一是</w:t>
      </w:r>
      <w:r>
        <w:rPr>
          <w:rFonts w:hint="eastAsia" w:ascii="仿宋_GB2312" w:eastAsia="仿宋_GB2312"/>
          <w:sz w:val="32"/>
          <w:szCs w:val="32"/>
        </w:rPr>
        <w:t>印发《遂宁市2021—2023年家庭家教家风工作实施方案》</w:t>
      </w:r>
      <w:r>
        <w:rPr>
          <w:rFonts w:hint="eastAsia" w:ascii="仿宋_GB2312" w:hAnsi="仿宋_GB2312" w:eastAsia="仿宋_GB2312" w:cs="仿宋_GB2312"/>
          <w:bCs/>
          <w:sz w:val="32"/>
          <w:szCs w:val="32"/>
        </w:rPr>
        <w:t>。打造</w:t>
      </w:r>
      <w:r>
        <w:rPr>
          <w:rFonts w:hint="eastAsia" w:ascii="仿宋_GB2312" w:hAnsi="仿宋_GB2312" w:eastAsia="仿宋_GB2312" w:cs="仿宋_GB2312"/>
          <w:sz w:val="32"/>
          <w:szCs w:val="32"/>
        </w:rPr>
        <w:t>市级“家风广场”1个、家风讲堂示范点4个</w:t>
      </w:r>
      <w:r>
        <w:rPr>
          <w:rFonts w:hint="eastAsia" w:ascii="仿宋_GB2312" w:hAnsi="仿宋_GB2312" w:eastAsia="仿宋_GB2312" w:cs="仿宋_GB2312"/>
          <w:sz w:val="32"/>
          <w:szCs w:val="32"/>
          <w:lang w:eastAsia="zh-CN"/>
        </w:rPr>
        <w:t>。</w:t>
      </w:r>
      <w:r>
        <w:rPr>
          <w:rFonts w:hint="eastAsia" w:ascii="仿宋_GB2312" w:eastAsia="仿宋_GB2312"/>
          <w:sz w:val="32"/>
          <w:szCs w:val="32"/>
          <w:lang w:val="en-US" w:eastAsia="zh-CN"/>
        </w:rPr>
        <w:t>承办四川省“家和万事兴”学四史颂党恩家风家教主题活动，安居黄娥家风馆成功创建为省级</w:t>
      </w:r>
      <w:r>
        <w:rPr>
          <w:rFonts w:hint="eastAsia" w:ascii="仿宋_GB2312" w:eastAsia="仿宋_GB2312"/>
          <w:b w:val="0"/>
          <w:bCs w:val="0"/>
          <w:sz w:val="32"/>
          <w:szCs w:val="32"/>
          <w:lang w:val="en-US" w:eastAsia="zh-CN"/>
        </w:rPr>
        <w:t>首个</w:t>
      </w:r>
      <w:r>
        <w:rPr>
          <w:rFonts w:hint="eastAsia" w:ascii="仿宋_GB2312" w:eastAsia="仿宋_GB2312"/>
          <w:sz w:val="32"/>
          <w:szCs w:val="32"/>
          <w:lang w:val="en-US" w:eastAsia="zh-CN"/>
        </w:rPr>
        <w:t>家风家教实践基地</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评选各级先进家庭典型</w:t>
      </w:r>
      <w:r>
        <w:rPr>
          <w:rFonts w:hint="eastAsia" w:ascii="仿宋_GB2312" w:hAnsi="仿宋_GB2312" w:eastAsia="仿宋_GB2312" w:cs="仿宋_GB2312"/>
          <w:color w:val="000000"/>
          <w:sz w:val="32"/>
          <w:szCs w:val="32"/>
          <w:lang w:val="en-US" w:eastAsia="zh-CN"/>
        </w:rPr>
        <w:t>300</w:t>
      </w:r>
      <w:r>
        <w:rPr>
          <w:rFonts w:hint="eastAsia" w:ascii="仿宋_GB2312" w:hAnsi="仿宋_GB2312" w:eastAsia="仿宋_GB2312" w:cs="仿宋_GB2312"/>
          <w:color w:val="000000"/>
          <w:sz w:val="32"/>
          <w:szCs w:val="32"/>
        </w:rPr>
        <w:t>余户</w:t>
      </w:r>
      <w:r>
        <w:rPr>
          <w:rFonts w:hint="eastAsia" w:ascii="仿宋_GB2312" w:hAnsi="仿宋_GB2312" w:eastAsia="仿宋_GB2312" w:cs="仿宋_GB2312"/>
          <w:sz w:val="32"/>
          <w:szCs w:val="32"/>
        </w:rPr>
        <w:t>。</w:t>
      </w:r>
      <w:r>
        <w:rPr>
          <w:rFonts w:hint="eastAsia" w:ascii="仿宋_GB2312" w:hAnsi="仿宋_GB2312" w:eastAsia="仿宋_GB2312" w:cs="仿宋_GB2312"/>
          <w:spacing w:val="0"/>
          <w:sz w:val="32"/>
          <w:szCs w:val="32"/>
          <w:lang w:val="en-US" w:eastAsia="zh-CN"/>
        </w:rPr>
        <w:t>命名家庭教育指导服务示范基地40个。</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CN"/>
        </w:rPr>
        <w:t>市委组织部等九个部门</w:t>
      </w:r>
      <w:r>
        <w:rPr>
          <w:rFonts w:hint="eastAsia" w:ascii="仿宋_GB2312" w:hAnsi="仿宋_GB2312" w:eastAsia="仿宋_GB2312" w:cs="仿宋_GB2312"/>
          <w:sz w:val="32"/>
          <w:szCs w:val="32"/>
        </w:rPr>
        <w:t>联合印发《遂宁市“乡村振兴巾帼行动（2021-2025年）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举办返乡妇女就业创业培训班2期，培训妇女100人。</w:t>
      </w:r>
      <w:r>
        <w:rPr>
          <w:rFonts w:hint="eastAsia" w:ascii="仿宋_GB2312" w:hAnsi="仿宋_GB2312" w:eastAsia="仿宋_GB2312" w:cs="仿宋_GB2312"/>
          <w:b w:val="0"/>
          <w:bCs w:val="0"/>
          <w:sz w:val="32"/>
          <w:szCs w:val="32"/>
          <w:shd w:val="clear" w:color="auto" w:fill="FFFFFF"/>
          <w:lang w:val="en-US" w:eastAsia="zh-CN"/>
        </w:rPr>
        <w:t>持续</w:t>
      </w:r>
      <w:r>
        <w:rPr>
          <w:rFonts w:hint="eastAsia" w:ascii="仿宋_GB2312" w:hAnsi="仿宋_GB2312" w:eastAsia="仿宋_GB2312" w:cs="仿宋_GB2312"/>
          <w:sz w:val="32"/>
          <w:szCs w:val="32"/>
          <w:shd w:val="clear" w:color="auto" w:fill="FFFFFF"/>
        </w:rPr>
        <w:t>实施关爱女农民工“回家行动”</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为</w:t>
      </w:r>
      <w:r>
        <w:rPr>
          <w:rFonts w:hint="eastAsia" w:ascii="仿宋_GB2312" w:hAnsi="仿宋_GB2312" w:eastAsia="仿宋_GB2312" w:cs="仿宋_GB2312"/>
          <w:sz w:val="32"/>
          <w:szCs w:val="32"/>
          <w:shd w:val="clear" w:color="auto" w:fill="FFFFFF"/>
          <w:lang w:val="en-US" w:eastAsia="zh-CN"/>
        </w:rPr>
        <w:t>3万余</w:t>
      </w:r>
      <w:r>
        <w:rPr>
          <w:rFonts w:hint="eastAsia" w:ascii="仿宋_GB2312" w:hAnsi="仿宋_GB2312" w:eastAsia="仿宋_GB2312" w:cs="仿宋_GB2312"/>
          <w:b w:val="0"/>
          <w:bCs w:val="0"/>
          <w:sz w:val="32"/>
          <w:szCs w:val="32"/>
          <w:shd w:val="clear" w:color="auto" w:fill="FFFFFF"/>
          <w:lang w:val="en-US" w:eastAsia="zh-CN"/>
        </w:rPr>
        <w:t>名</w:t>
      </w:r>
      <w:r>
        <w:rPr>
          <w:rFonts w:hint="eastAsia" w:ascii="仿宋_GB2312" w:hAnsi="仿宋_GB2312" w:eastAsia="仿宋_GB2312" w:cs="仿宋_GB2312"/>
          <w:sz w:val="32"/>
          <w:szCs w:val="32"/>
          <w:shd w:val="clear" w:color="auto" w:fill="FFFFFF"/>
        </w:rPr>
        <w:t>返乡</w:t>
      </w:r>
      <w:r>
        <w:rPr>
          <w:rFonts w:hint="eastAsia" w:ascii="仿宋_GB2312" w:hAnsi="仿宋_GB2312" w:eastAsia="仿宋_GB2312" w:cs="仿宋_GB2312"/>
          <w:sz w:val="32"/>
          <w:szCs w:val="32"/>
          <w:shd w:val="clear" w:color="auto" w:fill="FFFFFF"/>
          <w:lang w:eastAsia="zh-CN"/>
        </w:rPr>
        <w:t>女</w:t>
      </w:r>
      <w:r>
        <w:rPr>
          <w:rFonts w:hint="eastAsia" w:ascii="仿宋_GB2312" w:hAnsi="仿宋_GB2312" w:eastAsia="仿宋_GB2312" w:cs="仿宋_GB2312"/>
          <w:sz w:val="32"/>
          <w:szCs w:val="32"/>
          <w:shd w:val="clear" w:color="auto" w:fill="FFFFFF"/>
        </w:rPr>
        <w:t>农民工提供暖心服务</w:t>
      </w:r>
      <w:r>
        <w:rPr>
          <w:rFonts w:hint="eastAsia" w:ascii="仿宋_GB2312" w:hAnsi="仿宋_GB2312" w:eastAsia="仿宋_GB2312" w:cs="仿宋_GB2312"/>
          <w:sz w:val="32"/>
          <w:szCs w:val="32"/>
          <w:lang w:eastAsia="zh-CN"/>
        </w:rPr>
        <w:t>。遂宁经验在全省乡村振兴巾帼行动推进会上交流推广。</w:t>
      </w:r>
    </w:p>
    <w:p>
      <w:pPr>
        <w:keepNext w:val="0"/>
        <w:keepLines w:val="0"/>
        <w:pageBreakBefore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spacing w:line="560" w:lineRule="exact"/>
        <w:ind w:firstLine="640" w:firstLineChars="200"/>
        <w:textAlignment w:val="top"/>
        <w:rPr>
          <w:rFonts w:hint="eastAsia"/>
          <w:lang w:val="en-US" w:eastAsia="zh-CN"/>
        </w:rPr>
      </w:pPr>
      <w:r>
        <w:rPr>
          <w:rFonts w:hint="eastAsia" w:ascii="楷体_GB2312" w:hAnsi="楷体_GB2312" w:eastAsia="楷体_GB2312" w:cs="楷体_GB2312"/>
          <w:b w:val="0"/>
          <w:bCs/>
          <w:sz w:val="32"/>
          <w:szCs w:val="32"/>
          <w:shd w:val="clear" w:color="auto" w:fill="FFFFFF"/>
          <w:lang w:val="en-US" w:eastAsia="zh-CN"/>
        </w:rPr>
        <w:t>（三）强化关爱服务，维护妇女儿童权益。</w:t>
      </w:r>
      <w:r>
        <w:rPr>
          <w:rFonts w:hint="eastAsia" w:ascii="仿宋_GB2312" w:hAnsi="仿宋_GB2312" w:eastAsia="仿宋_GB2312" w:cs="仿宋_GB2312"/>
          <w:sz w:val="32"/>
          <w:szCs w:val="32"/>
          <w:lang w:val="en-US" w:eastAsia="zh-CN"/>
        </w:rPr>
        <w:t>一是持续实施贫困“两癌”妇女救助民生实事，在全省率先建立政府长效救助保障机制。推动将“建立困境妇女救助保障机制”纳入十四五规划和二〇三五远景目标，将“两癌”妇女救助纳入市委政府30件民生实事总体部署。已完成救助新增农村贫困和城镇低保“两癌”患病妇女184人；为</w:t>
      </w:r>
      <w:r>
        <w:rPr>
          <w:rFonts w:hint="eastAsia" w:ascii="仿宋_GB2312" w:hAnsi="仿宋_GB2312" w:eastAsia="仿宋_GB2312" w:cs="仿宋_GB2312"/>
          <w:i w:val="0"/>
          <w:caps w:val="0"/>
          <w:color w:val="171A1D"/>
          <w:spacing w:val="0"/>
          <w:kern w:val="0"/>
          <w:sz w:val="32"/>
          <w:szCs w:val="32"/>
          <w:shd w:val="clear" w:color="auto" w:fill="FFFFFF"/>
          <w:lang w:val="en-US" w:eastAsia="zh-CN" w:bidi="ar"/>
        </w:rPr>
        <w:t>57816</w:t>
      </w:r>
      <w:r>
        <w:rPr>
          <w:rFonts w:hint="eastAsia" w:ascii="仿宋_GB2312" w:hAnsi="仿宋_GB2312" w:eastAsia="仿宋_GB2312" w:cs="仿宋_GB2312"/>
          <w:sz w:val="32"/>
          <w:szCs w:val="32"/>
          <w:lang w:val="en-US" w:eastAsia="zh-CN"/>
        </w:rPr>
        <w:t>名符合条件的城乡低保妇女购买了“两癌”保险。二是开展系列关爱活动。走访慰问“快递小妹、女干警、困难妇女、女企业家、基层妇干”等各行业妇女590名。整合社会资金15万元慰问“两癌”及特困低保妇女60名。持续开展春蕾助学暨“六一”关爱活动，慰问困难留守女童500名。三是做好妇女儿童保护工作。</w:t>
      </w:r>
      <w:r>
        <w:rPr>
          <w:rFonts w:hint="eastAsia" w:ascii="仿宋_GB2312" w:hAnsi="仿宋_GB2312" w:eastAsia="仿宋_GB2312" w:cs="仿宋_GB2312"/>
          <w:b w:val="0"/>
          <w:bCs w:val="0"/>
          <w:sz w:val="32"/>
          <w:szCs w:val="32"/>
          <w:lang w:eastAsia="zh-CN"/>
        </w:rPr>
        <w:t>深化</w:t>
      </w:r>
      <w:r>
        <w:rPr>
          <w:rFonts w:hint="eastAsia" w:ascii="仿宋_GB2312" w:hAnsi="仿宋_GB2312" w:eastAsia="仿宋_GB2312" w:cs="仿宋_GB2312"/>
          <w:b w:val="0"/>
          <w:bCs w:val="0"/>
          <w:sz w:val="32"/>
          <w:szCs w:val="32"/>
        </w:rPr>
        <w:t>“未成年人保护”专项行动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lang w:val="en-US" w:eastAsia="zh-CN"/>
        </w:rPr>
        <w:t>充分发挥“市预防性侵未成年人、保护女童人身安全工作联席会议制度”作用，从源头保障儿童合法权益。拓展维权版图，</w:t>
      </w:r>
      <w:r>
        <w:rPr>
          <w:rFonts w:hint="eastAsia" w:ascii="仿宋_GB2312" w:hAnsi="仿宋_GB2312" w:eastAsia="仿宋_GB2312" w:cs="仿宋_GB2312"/>
          <w:color w:val="auto"/>
          <w:sz w:val="32"/>
          <w:szCs w:val="32"/>
          <w:shd w:val="clear" w:color="auto" w:fill="FFFFFF"/>
          <w:lang w:val="en-US" w:eastAsia="zh-CN"/>
        </w:rPr>
        <w:t>争取2021年</w:t>
      </w:r>
      <w:r>
        <w:rPr>
          <w:rFonts w:hint="eastAsia" w:ascii="仿宋_GB2312" w:hAnsi="仿宋_GB2312" w:eastAsia="仿宋_GB2312" w:cs="仿宋_GB2312"/>
          <w:sz w:val="32"/>
          <w:szCs w:val="32"/>
        </w:rPr>
        <w:t>省级妇儿专项</w:t>
      </w:r>
      <w:r>
        <w:rPr>
          <w:rFonts w:hint="eastAsia" w:ascii="仿宋_GB2312" w:hAnsi="仿宋_GB2312" w:eastAsia="仿宋_GB2312" w:cs="仿宋_GB2312"/>
          <w:sz w:val="32"/>
          <w:szCs w:val="32"/>
          <w:lang w:eastAsia="zh-CN"/>
        </w:rPr>
        <w:t>资金</w:t>
      </w:r>
      <w:r>
        <w:rPr>
          <w:rFonts w:hint="eastAsia" w:ascii="仿宋_GB2312" w:hAnsi="仿宋_GB2312" w:eastAsia="仿宋_GB2312" w:cs="仿宋_GB2312"/>
          <w:sz w:val="32"/>
          <w:szCs w:val="32"/>
          <w:lang w:val="en-US" w:eastAsia="zh-CN"/>
        </w:rPr>
        <w:t>4万元，</w:t>
      </w:r>
      <w:r>
        <w:rPr>
          <w:rFonts w:hint="eastAsia" w:ascii="仿宋_GB2312" w:hAnsi="仿宋_GB2312" w:eastAsia="仿宋_GB2312" w:cs="仿宋_GB2312"/>
          <w:sz w:val="32"/>
          <w:szCs w:val="32"/>
        </w:rPr>
        <w:t>建设省级妇女儿童维权</w:t>
      </w:r>
      <w:r>
        <w:rPr>
          <w:rFonts w:hint="eastAsia" w:ascii="仿宋_GB2312" w:hAnsi="仿宋_GB2312" w:eastAsia="仿宋_GB2312" w:cs="仿宋_GB2312"/>
          <w:sz w:val="32"/>
          <w:szCs w:val="32"/>
          <w:lang w:eastAsia="zh-CN"/>
        </w:rPr>
        <w:t>示范</w:t>
      </w:r>
      <w:r>
        <w:rPr>
          <w:rFonts w:hint="eastAsia" w:ascii="仿宋_GB2312" w:hAnsi="仿宋_GB2312" w:eastAsia="仿宋_GB2312" w:cs="仿宋_GB2312"/>
          <w:sz w:val="32"/>
          <w:szCs w:val="32"/>
        </w:rPr>
        <w:t>站</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开展妇女儿童法律知识竞答微信抢红包活动</w:t>
      </w:r>
      <w:r>
        <w:rPr>
          <w:rFonts w:hint="eastAsia" w:ascii="仿宋_GB2312" w:hAnsi="仿宋_GB2312" w:eastAsia="仿宋_GB2312" w:cs="仿宋_GB2312"/>
          <w:sz w:val="32"/>
          <w:szCs w:val="32"/>
          <w:lang w:val="en-US" w:eastAsia="zh-CN"/>
        </w:rPr>
        <w:t>2期，</w:t>
      </w:r>
      <w:r>
        <w:rPr>
          <w:rFonts w:hint="eastAsia" w:ascii="仿宋_GB2312" w:hAnsi="仿宋_GB2312" w:eastAsia="仿宋_GB2312" w:cs="仿宋_GB2312"/>
          <w:sz w:val="32"/>
          <w:szCs w:val="32"/>
        </w:rPr>
        <w:t>录制微普法短视频20个，在</w:t>
      </w:r>
      <w:r>
        <w:rPr>
          <w:rFonts w:hint="eastAsia" w:ascii="仿宋_GB2312" w:hAnsi="仿宋_GB2312" w:eastAsia="仿宋_GB2312" w:cs="仿宋_GB2312"/>
          <w:sz w:val="32"/>
          <w:szCs w:val="32"/>
          <w:lang w:eastAsia="zh-CN"/>
        </w:rPr>
        <w:t>全媒体进行</w:t>
      </w:r>
      <w:r>
        <w:rPr>
          <w:rFonts w:hint="eastAsia" w:ascii="仿宋_GB2312" w:hAnsi="仿宋_GB2312" w:eastAsia="仿宋_GB2312" w:cs="仿宋_GB2312"/>
          <w:sz w:val="32"/>
          <w:szCs w:val="32"/>
        </w:rPr>
        <w:t>播放。开设“妇女维权周三播报”电台专题栏目40期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开展法律知识讲座进社区系列活动10场</w:t>
      </w:r>
      <w:r>
        <w:rPr>
          <w:rFonts w:hint="eastAsia" w:ascii="仿宋_GB2312" w:hAnsi="仿宋_GB2312" w:eastAsia="仿宋_GB2312" w:cs="仿宋_GB2312"/>
          <w:b w:val="0"/>
          <w:bCs w:val="0"/>
          <w:color w:val="auto"/>
          <w:sz w:val="32"/>
          <w:szCs w:val="32"/>
          <w:lang w:val="en-US" w:eastAsia="zh-CN"/>
        </w:rPr>
        <w:t>。</w:t>
      </w:r>
    </w:p>
    <w:p>
      <w:pPr>
        <w:pStyle w:val="3"/>
        <w:pageBreakBefore w:val="0"/>
        <w:kinsoku/>
        <w:wordWrap/>
        <w:overflowPunct/>
        <w:bidi w:val="0"/>
        <w:spacing w:line="560" w:lineRule="exact"/>
        <w:ind w:right="440"/>
        <w:jc w:val="center"/>
        <w:rPr>
          <w:rStyle w:val="24"/>
          <w:rFonts w:ascii="黑体" w:hAnsi="黑体" w:eastAsia="黑体"/>
          <w:b w:val="0"/>
          <w:bCs/>
          <w:color w:val="auto"/>
          <w:highlight w:val="none"/>
        </w:rPr>
      </w:pPr>
      <w:bookmarkStart w:id="18" w:name="_Toc15396602"/>
      <w:bookmarkStart w:id="19" w:name="_Toc15377204"/>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2021年度</w:t>
      </w:r>
      <w:r>
        <w:rPr>
          <w:rStyle w:val="24"/>
          <w:rFonts w:hint="eastAsia" w:ascii="黑体" w:hAnsi="黑体" w:eastAsia="黑体"/>
          <w:b w:val="0"/>
          <w:bCs/>
          <w:color w:val="auto"/>
          <w:highlight w:val="none"/>
          <w:lang w:eastAsia="zh-CN"/>
        </w:rPr>
        <w:t>单位</w:t>
      </w:r>
      <w:r>
        <w:rPr>
          <w:rStyle w:val="24"/>
          <w:rFonts w:hint="eastAsia" w:ascii="黑体" w:hAnsi="黑体" w:eastAsia="黑体"/>
          <w:b w:val="0"/>
          <w:bCs/>
          <w:color w:val="auto"/>
          <w:highlight w:val="none"/>
        </w:rPr>
        <w:t>决算情况说明</w:t>
      </w:r>
      <w:bookmarkEnd w:id="18"/>
      <w:bookmarkEnd w:id="19"/>
    </w:p>
    <w:p>
      <w:pPr>
        <w:pageBreakBefore w:val="0"/>
        <w:kinsoku/>
        <w:wordWrap/>
        <w:overflowPunct/>
        <w:bidi w:val="0"/>
        <w:spacing w:line="560" w:lineRule="exact"/>
        <w:rPr>
          <w:color w:val="auto"/>
          <w:highlight w:val="none"/>
        </w:rPr>
      </w:pPr>
    </w:p>
    <w:p>
      <w:pPr>
        <w:pStyle w:val="23"/>
        <w:pageBreakBefore w:val="0"/>
        <w:numPr>
          <w:ilvl w:val="0"/>
          <w:numId w:val="2"/>
        </w:numPr>
        <w:kinsoku/>
        <w:wordWrap/>
        <w:overflowPunct/>
        <w:bidi w:val="0"/>
        <w:spacing w:line="560" w:lineRule="exact"/>
        <w:ind w:firstLineChars="0"/>
        <w:outlineLvl w:val="1"/>
        <w:rPr>
          <w:rStyle w:val="25"/>
          <w:rFonts w:ascii="黑体" w:hAnsi="黑体" w:eastAsia="黑体"/>
          <w:b w:val="0"/>
          <w:color w:val="auto"/>
          <w:highlight w:val="none"/>
        </w:rPr>
      </w:pPr>
      <w:bookmarkStart w:id="20" w:name="_Toc15377205"/>
      <w:bookmarkStart w:id="21" w:name="_Toc15396603"/>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入支出决算总体情况说明</w:t>
      </w:r>
      <w:bookmarkEnd w:id="20"/>
      <w:bookmarkEnd w:id="21"/>
    </w:p>
    <w:p>
      <w:pPr>
        <w:pageBreakBefore w:val="0"/>
        <w:kinsoku/>
        <w:wordWrap/>
        <w:overflowPunct/>
        <w:bidi w:val="0"/>
        <w:spacing w:line="56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年度收、支总计577.13万元。与20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年相比，收、支总计各增加</w:t>
      </w:r>
      <w:r>
        <w:rPr>
          <w:rFonts w:hint="eastAsia" w:ascii="仿宋" w:hAnsi="仿宋" w:eastAsia="仿宋"/>
          <w:color w:val="auto"/>
          <w:sz w:val="32"/>
          <w:szCs w:val="32"/>
          <w:highlight w:val="none"/>
          <w:lang w:val="en-US" w:eastAsia="zh-CN"/>
        </w:rPr>
        <w:t>118.86</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25.94</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。主要变动原因是本年新增项目活动经费等。（图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pageBreakBefore w:val="0"/>
        <w:kinsoku/>
        <w:wordWrap/>
        <w:overflowPunct/>
        <w:bidi w:val="0"/>
        <w:spacing w:line="560" w:lineRule="exact"/>
        <w:ind w:firstLine="640" w:firstLineChars="200"/>
        <w:jc w:val="left"/>
        <w:rPr>
          <w:rFonts w:ascii="仿宋_GB2312" w:eastAsia="仿宋_GB2312"/>
          <w:color w:val="auto"/>
          <w:sz w:val="32"/>
          <w:szCs w:val="32"/>
          <w:highlight w:val="none"/>
        </w:rPr>
      </w:pPr>
      <w:r>
        <w:rPr>
          <w:rFonts w:ascii="仿宋_GB2312" w:eastAsia="仿宋_GB2312"/>
          <w:color w:val="000000"/>
          <w:sz w:val="32"/>
          <w:szCs w:val="32"/>
        </w:rPr>
        <w:pict>
          <v:shape id="对象 9" o:spid="_x0000_s1026" o:spt="75" type="#_x0000_t75" style="position:absolute;left:0pt;margin-left:-19pt;margin-top:0.65pt;height:185.75pt;width:459.75pt;z-index:251659264;mso-width-relative:page;mso-height-relative:page;" o:ole="t" filled="f" o:preferrelative="t" stroked="f" coordsize="21600,21600">
            <v:path/>
            <v:fill on="f" focussize="0,0"/>
            <v:stroke on="f"/>
            <v:imagedata r:id="rId7" o:title=""/>
            <o:lock v:ext="edit" aspectratio="t"/>
          </v:shape>
          <o:OLEObject Type="Embed" ProgID="Excel.Sheet.12" ShapeID="对象 9" DrawAspect="Content" ObjectID="_1468075725" r:id="rId6">
            <o:LockedField>false</o:LockedField>
          </o:OLEObject>
        </w:pict>
      </w:r>
    </w:p>
    <w:p>
      <w:pPr>
        <w:pStyle w:val="23"/>
        <w:pageBreakBefore w:val="0"/>
        <w:numPr>
          <w:ilvl w:val="0"/>
          <w:numId w:val="2"/>
        </w:numPr>
        <w:kinsoku/>
        <w:wordWrap/>
        <w:overflowPunct/>
        <w:bidi w:val="0"/>
        <w:spacing w:line="560" w:lineRule="exact"/>
        <w:ind w:firstLineChars="0"/>
        <w:outlineLvl w:val="1"/>
        <w:rPr>
          <w:rStyle w:val="25"/>
          <w:rFonts w:ascii="黑体" w:hAnsi="黑体" w:eastAsia="黑体"/>
          <w:b w:val="0"/>
          <w:color w:val="auto"/>
          <w:highlight w:val="none"/>
        </w:rPr>
      </w:pPr>
      <w:bookmarkStart w:id="22" w:name="_Toc15377206"/>
      <w:bookmarkStart w:id="23" w:name="_Toc15396604"/>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入决算情况说明</w:t>
      </w:r>
      <w:bookmarkEnd w:id="22"/>
      <w:bookmarkEnd w:id="23"/>
    </w:p>
    <w:p>
      <w:pPr>
        <w:pageBreakBefore w:val="0"/>
        <w:kinsoku/>
        <w:wordWrap/>
        <w:overflowPunct/>
        <w:bidi w:val="0"/>
        <w:spacing w:line="56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年本年收入合计577.13万元，其中：一般公共预算财政拨款收入577.13万元，占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pageBreakBefore w:val="0"/>
        <w:kinsoku/>
        <w:wordWrap/>
        <w:overflowPunct/>
        <w:bidi w:val="0"/>
        <w:spacing w:line="560" w:lineRule="exact"/>
        <w:ind w:firstLine="643" w:firstLineChars="200"/>
        <w:outlineLvl w:val="1"/>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01表</w:t>
      </w:r>
      <w:r>
        <w:rPr>
          <w:rFonts w:hint="eastAsia" w:ascii="仿宋" w:hAnsi="仿宋" w:eastAsia="仿宋"/>
          <w:b/>
          <w:color w:val="auto"/>
          <w:sz w:val="32"/>
          <w:szCs w:val="32"/>
          <w:highlight w:val="none"/>
          <w:lang w:eastAsia="zh-CN"/>
        </w:rPr>
        <w:t>，仅罗列本单位涉及的收入。</w:t>
      </w:r>
      <w:r>
        <w:rPr>
          <w:rFonts w:ascii="仿宋" w:hAnsi="仿宋" w:eastAsia="仿宋"/>
          <w:b/>
          <w:color w:val="auto"/>
          <w:sz w:val="32"/>
          <w:szCs w:val="32"/>
          <w:highlight w:val="none"/>
        </w:rPr>
        <w:t>）</w:t>
      </w:r>
    </w:p>
    <w:p>
      <w:pPr>
        <w:pageBreakBefore w:val="0"/>
        <w:kinsoku/>
        <w:wordWrap/>
        <w:overflowPunct/>
        <w:bidi w:val="0"/>
        <w:spacing w:line="560" w:lineRule="exact"/>
        <w:ind w:firstLine="640" w:firstLineChars="200"/>
        <w:outlineLvl w:val="1"/>
        <w:rPr>
          <w:rFonts w:ascii="仿宋" w:hAnsi="仿宋" w:eastAsia="仿宋"/>
          <w:color w:val="auto"/>
          <w:sz w:val="32"/>
          <w:szCs w:val="32"/>
          <w:highlight w:val="none"/>
        </w:rPr>
      </w:pPr>
    </w:p>
    <w:p>
      <w:pPr>
        <w:pageBreakBefore w:val="0"/>
        <w:kinsoku/>
        <w:wordWrap/>
        <w:overflowPunct/>
        <w:bidi w:val="0"/>
        <w:spacing w:line="56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hAnsi="仿宋" w:eastAsia="仿宋_GB2312"/>
          <w:sz w:val="32"/>
          <w:szCs w:val="32"/>
        </w:rPr>
        <w:pict>
          <v:shape id="Object 3" o:spid="_x0000_s1027" o:spt="75" type="#_x0000_t75" style="position:absolute;left:0pt;margin-left:-26.15pt;margin-top:16.85pt;height:179.75pt;width:495.55pt;z-index:251660288;mso-width-relative:page;mso-height-relative:page;" o:ole="t" filled="f" o:preferrelative="t" stroked="f" coordsize="21600,21600">
            <v:path/>
            <v:fill on="f" focussize="0,0"/>
            <v:stroke on="f"/>
            <v:imagedata r:id="rId9" o:title=""/>
            <o:lock v:ext="edit" aspectratio="t"/>
          </v:shape>
          <o:OLEObject Type="Embed" ProgID="Excel.Sheet.12" ShapeID="Object 3" DrawAspect="Content" ObjectID="_1468075726" r:id="rId8">
            <o:LockedField>false</o:LockedField>
          </o:OLEObject>
        </w:pict>
      </w:r>
    </w:p>
    <w:p>
      <w:pPr>
        <w:pStyle w:val="2"/>
        <w:pageBreakBefore w:val="0"/>
        <w:kinsoku/>
        <w:wordWrap/>
        <w:overflowPunct/>
        <w:bidi w:val="0"/>
        <w:spacing w:line="560" w:lineRule="exact"/>
        <w:rPr>
          <w:rFonts w:ascii="仿宋_GB2312" w:eastAsia="仿宋_GB2312"/>
          <w:color w:val="auto"/>
          <w:sz w:val="32"/>
          <w:szCs w:val="32"/>
          <w:highlight w:val="none"/>
        </w:rPr>
      </w:pPr>
    </w:p>
    <w:p>
      <w:pPr>
        <w:pStyle w:val="2"/>
        <w:pageBreakBefore w:val="0"/>
        <w:kinsoku/>
        <w:wordWrap/>
        <w:overflowPunct/>
        <w:bidi w:val="0"/>
        <w:spacing w:line="560" w:lineRule="exact"/>
        <w:rPr>
          <w:rFonts w:ascii="仿宋_GB2312" w:eastAsia="仿宋_GB2312"/>
          <w:color w:val="auto"/>
          <w:sz w:val="32"/>
          <w:szCs w:val="32"/>
          <w:highlight w:val="none"/>
        </w:rPr>
      </w:pPr>
    </w:p>
    <w:p>
      <w:pPr>
        <w:pStyle w:val="2"/>
        <w:pageBreakBefore w:val="0"/>
        <w:kinsoku/>
        <w:wordWrap/>
        <w:overflowPunct/>
        <w:bidi w:val="0"/>
        <w:spacing w:line="560" w:lineRule="exact"/>
        <w:rPr>
          <w:rFonts w:ascii="仿宋_GB2312" w:eastAsia="仿宋_GB2312"/>
          <w:color w:val="auto"/>
          <w:sz w:val="32"/>
          <w:szCs w:val="32"/>
          <w:highlight w:val="none"/>
        </w:rPr>
      </w:pPr>
    </w:p>
    <w:p>
      <w:pPr>
        <w:pStyle w:val="2"/>
        <w:pageBreakBefore w:val="0"/>
        <w:kinsoku/>
        <w:wordWrap/>
        <w:overflowPunct/>
        <w:bidi w:val="0"/>
        <w:spacing w:line="560" w:lineRule="exact"/>
        <w:rPr>
          <w:rFonts w:ascii="仿宋_GB2312" w:eastAsia="仿宋_GB2312"/>
          <w:color w:val="auto"/>
          <w:sz w:val="32"/>
          <w:szCs w:val="32"/>
          <w:highlight w:val="none"/>
        </w:rPr>
      </w:pPr>
    </w:p>
    <w:p>
      <w:pPr>
        <w:pStyle w:val="2"/>
        <w:pageBreakBefore w:val="0"/>
        <w:kinsoku/>
        <w:wordWrap/>
        <w:overflowPunct/>
        <w:bidi w:val="0"/>
        <w:spacing w:line="560" w:lineRule="exact"/>
        <w:rPr>
          <w:rFonts w:ascii="仿宋_GB2312" w:eastAsia="仿宋_GB2312"/>
          <w:color w:val="auto"/>
          <w:sz w:val="32"/>
          <w:szCs w:val="32"/>
          <w:highlight w:val="none"/>
        </w:rPr>
      </w:pPr>
    </w:p>
    <w:p>
      <w:pPr>
        <w:pStyle w:val="23"/>
        <w:pageBreakBefore w:val="0"/>
        <w:numPr>
          <w:ilvl w:val="0"/>
          <w:numId w:val="2"/>
        </w:numPr>
        <w:kinsoku/>
        <w:wordWrap/>
        <w:overflowPunct/>
        <w:bidi w:val="0"/>
        <w:spacing w:line="560" w:lineRule="exact"/>
        <w:ind w:firstLineChars="0"/>
        <w:outlineLvl w:val="1"/>
        <w:rPr>
          <w:rStyle w:val="25"/>
          <w:rFonts w:ascii="黑体" w:hAnsi="黑体" w:eastAsia="黑体"/>
          <w:b w:val="0"/>
          <w:color w:val="auto"/>
          <w:highlight w:val="none"/>
        </w:rPr>
      </w:pPr>
      <w:bookmarkStart w:id="24" w:name="_Toc15377207"/>
      <w:bookmarkStart w:id="25" w:name="_Toc15396605"/>
      <w:r>
        <w:rPr>
          <w:rFonts w:hint="eastAsia" w:ascii="黑体" w:hAnsi="黑体" w:eastAsia="黑体"/>
          <w:color w:val="auto"/>
          <w:sz w:val="32"/>
          <w:szCs w:val="32"/>
          <w:highlight w:val="none"/>
        </w:rPr>
        <w:t>支</w:t>
      </w:r>
      <w:r>
        <w:rPr>
          <w:rStyle w:val="25"/>
          <w:rFonts w:hint="eastAsia" w:ascii="黑体" w:hAnsi="黑体" w:eastAsia="黑体"/>
          <w:b w:val="0"/>
          <w:color w:val="auto"/>
          <w:highlight w:val="none"/>
        </w:rPr>
        <w:t>出决算情况说明</w:t>
      </w:r>
      <w:bookmarkEnd w:id="24"/>
      <w:bookmarkEnd w:id="25"/>
    </w:p>
    <w:p>
      <w:pPr>
        <w:pageBreakBefore w:val="0"/>
        <w:kinsoku/>
        <w:wordWrap/>
        <w:overflowPunct/>
        <w:bidi w:val="0"/>
        <w:spacing w:line="56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年本年支出合计577.13万元，其中：基本支出249.32万元，占</w:t>
      </w:r>
      <w:r>
        <w:rPr>
          <w:rFonts w:hint="eastAsia" w:ascii="仿宋" w:hAnsi="仿宋" w:eastAsia="仿宋"/>
          <w:color w:val="auto"/>
          <w:sz w:val="32"/>
          <w:szCs w:val="32"/>
          <w:highlight w:val="none"/>
          <w:lang w:val="en-US" w:eastAsia="zh-CN"/>
        </w:rPr>
        <w:t>43.2</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；项目支出327.81万元，占</w:t>
      </w:r>
      <w:r>
        <w:rPr>
          <w:rFonts w:hint="eastAsia" w:ascii="仿宋" w:hAnsi="仿宋" w:eastAsia="仿宋"/>
          <w:color w:val="auto"/>
          <w:sz w:val="32"/>
          <w:szCs w:val="32"/>
          <w:highlight w:val="none"/>
          <w:lang w:val="en-US" w:eastAsia="zh-CN"/>
        </w:rPr>
        <w:t>56.8</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pageBreakBefore w:val="0"/>
        <w:kinsoku/>
        <w:wordWrap/>
        <w:overflowPunct/>
        <w:bidi w:val="0"/>
        <w:spacing w:line="560" w:lineRule="exact"/>
        <w:ind w:firstLine="643" w:firstLineChars="200"/>
        <w:outlineLvl w:val="1"/>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04</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eastAsia="zh-CN"/>
        </w:rPr>
        <w:t>，仅罗列本单位涉及的支出。</w:t>
      </w:r>
      <w:r>
        <w:rPr>
          <w:rFonts w:hint="eastAsia" w:ascii="仿宋" w:hAnsi="仿宋" w:eastAsia="仿宋"/>
          <w:b/>
          <w:color w:val="auto"/>
          <w:sz w:val="32"/>
          <w:szCs w:val="32"/>
          <w:highlight w:val="none"/>
        </w:rPr>
        <w:t>）</w:t>
      </w:r>
    </w:p>
    <w:p>
      <w:pPr>
        <w:pageBreakBefore w:val="0"/>
        <w:kinsoku/>
        <w:wordWrap/>
        <w:overflowPunct/>
        <w:bidi w:val="0"/>
        <w:spacing w:line="56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FF0000"/>
          <w:sz w:val="32"/>
          <w:szCs w:val="32"/>
        </w:rPr>
        <w:pict>
          <v:shape id="Object 4" o:spid="_x0000_s1028" o:spt="75" type="#_x0000_t75" style="position:absolute;left:0pt;margin-left:-26.5pt;margin-top:16pt;height:185.9pt;width:477.6pt;z-index:251661312;mso-width-relative:page;mso-height-relative:page;" o:ole="t" filled="f" o:preferrelative="t" stroked="f" coordsize="21600,21600">
            <v:path/>
            <v:fill on="f" focussize="0,0"/>
            <v:stroke on="f"/>
            <v:imagedata r:id="rId11" o:title=""/>
            <o:lock v:ext="edit" aspectratio="t"/>
          </v:shape>
          <o:OLEObject Type="Embed" ProgID="Excel.Sheet.12" ShapeID="Object 4" DrawAspect="Content" ObjectID="_1468075727" r:id="rId10">
            <o:LockedField>false</o:LockedField>
          </o:OLEObject>
        </w:pict>
      </w:r>
    </w:p>
    <w:p>
      <w:pPr>
        <w:pStyle w:val="2"/>
        <w:pageBreakBefore w:val="0"/>
        <w:kinsoku/>
        <w:wordWrap/>
        <w:overflowPunct/>
        <w:bidi w:val="0"/>
        <w:spacing w:line="560" w:lineRule="exact"/>
        <w:rPr>
          <w:rFonts w:ascii="仿宋_GB2312" w:eastAsia="仿宋_GB2312"/>
          <w:color w:val="auto"/>
          <w:sz w:val="32"/>
          <w:szCs w:val="32"/>
          <w:highlight w:val="none"/>
        </w:rPr>
      </w:pPr>
    </w:p>
    <w:p>
      <w:pPr>
        <w:pStyle w:val="2"/>
        <w:pageBreakBefore w:val="0"/>
        <w:kinsoku/>
        <w:wordWrap/>
        <w:overflowPunct/>
        <w:bidi w:val="0"/>
        <w:spacing w:line="560" w:lineRule="exact"/>
        <w:rPr>
          <w:rFonts w:ascii="仿宋_GB2312" w:eastAsia="仿宋_GB2312"/>
          <w:color w:val="auto"/>
          <w:sz w:val="32"/>
          <w:szCs w:val="32"/>
          <w:highlight w:val="none"/>
        </w:rPr>
      </w:pPr>
    </w:p>
    <w:p>
      <w:pPr>
        <w:pStyle w:val="2"/>
        <w:pageBreakBefore w:val="0"/>
        <w:kinsoku/>
        <w:wordWrap/>
        <w:overflowPunct/>
        <w:bidi w:val="0"/>
        <w:spacing w:line="560" w:lineRule="exact"/>
        <w:rPr>
          <w:rFonts w:ascii="仿宋_GB2312" w:eastAsia="仿宋_GB2312"/>
          <w:color w:val="auto"/>
          <w:sz w:val="32"/>
          <w:szCs w:val="32"/>
          <w:highlight w:val="none"/>
        </w:rPr>
      </w:pPr>
    </w:p>
    <w:p>
      <w:pPr>
        <w:pStyle w:val="2"/>
        <w:pageBreakBefore w:val="0"/>
        <w:kinsoku/>
        <w:wordWrap/>
        <w:overflowPunct/>
        <w:bidi w:val="0"/>
        <w:spacing w:line="560" w:lineRule="exact"/>
        <w:rPr>
          <w:rFonts w:ascii="仿宋_GB2312" w:eastAsia="仿宋_GB2312"/>
          <w:color w:val="auto"/>
          <w:sz w:val="32"/>
          <w:szCs w:val="32"/>
          <w:highlight w:val="none"/>
        </w:rPr>
      </w:pPr>
    </w:p>
    <w:p>
      <w:pPr>
        <w:pStyle w:val="2"/>
        <w:pageBreakBefore w:val="0"/>
        <w:kinsoku/>
        <w:wordWrap/>
        <w:overflowPunct/>
        <w:bidi w:val="0"/>
        <w:spacing w:line="560" w:lineRule="exact"/>
        <w:rPr>
          <w:rFonts w:ascii="仿宋_GB2312" w:eastAsia="仿宋_GB2312"/>
          <w:color w:val="auto"/>
          <w:sz w:val="32"/>
          <w:szCs w:val="32"/>
          <w:highlight w:val="none"/>
        </w:rPr>
      </w:pPr>
    </w:p>
    <w:p>
      <w:pPr>
        <w:pageBreakBefore w:val="0"/>
        <w:kinsoku/>
        <w:wordWrap/>
        <w:overflowPunct/>
        <w:bidi w:val="0"/>
        <w:spacing w:line="560" w:lineRule="exact"/>
        <w:ind w:firstLine="640" w:firstLineChars="200"/>
        <w:outlineLvl w:val="1"/>
        <w:rPr>
          <w:rStyle w:val="25"/>
          <w:rFonts w:ascii="黑体" w:hAnsi="黑体" w:eastAsia="黑体"/>
          <w:b w:val="0"/>
          <w:color w:val="auto"/>
          <w:highlight w:val="none"/>
        </w:rPr>
      </w:pPr>
      <w:bookmarkStart w:id="26" w:name="_Toc15377208"/>
      <w:bookmarkStart w:id="27" w:name="_Toc15396606"/>
      <w:r>
        <w:rPr>
          <w:rFonts w:hint="eastAsia" w:ascii="黑体" w:hAnsi="黑体" w:eastAsia="黑体"/>
          <w:color w:val="auto"/>
          <w:sz w:val="32"/>
          <w:szCs w:val="32"/>
          <w:highlight w:val="none"/>
        </w:rPr>
        <w:t>四、财</w:t>
      </w:r>
      <w:r>
        <w:rPr>
          <w:rStyle w:val="25"/>
          <w:rFonts w:hint="eastAsia" w:ascii="黑体" w:hAnsi="黑体" w:eastAsia="黑体"/>
          <w:b w:val="0"/>
          <w:color w:val="auto"/>
          <w:highlight w:val="none"/>
        </w:rPr>
        <w:t>政拨款收入支出决算总体情况说明</w:t>
      </w:r>
      <w:bookmarkEnd w:id="26"/>
      <w:bookmarkEnd w:id="27"/>
    </w:p>
    <w:p>
      <w:pPr>
        <w:pageBreakBefore w:val="0"/>
        <w:kinsoku/>
        <w:wordWrap/>
        <w:overflowPunct/>
        <w:bidi w:val="0"/>
        <w:spacing w:line="56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年财政拨款收、支总计577.13万元。与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年相比，财政拨款收、支总计各增加</w:t>
      </w:r>
      <w:r>
        <w:rPr>
          <w:rFonts w:hint="eastAsia" w:ascii="仿宋" w:hAnsi="仿宋" w:eastAsia="仿宋"/>
          <w:color w:val="auto"/>
          <w:sz w:val="32"/>
          <w:szCs w:val="32"/>
          <w:highlight w:val="none"/>
          <w:lang w:val="en-US" w:eastAsia="zh-CN"/>
        </w:rPr>
        <w:t>119.06</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25.99</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。主要变动原因是本年新增项目活动经费等。</w:t>
      </w: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r>
        <w:rPr>
          <w:rFonts w:ascii="仿宋" w:hAnsi="仿宋" w:eastAsia="仿宋"/>
          <w:b/>
          <w:color w:val="auto"/>
          <w:sz w:val="32"/>
          <w:szCs w:val="32"/>
          <w:highlight w:val="none"/>
        </w:rPr>
        <w:t>）</w:t>
      </w:r>
    </w:p>
    <w:p>
      <w:pPr>
        <w:pageBreakBefore w:val="0"/>
        <w:kinsoku/>
        <w:wordWrap/>
        <w:overflowPunct/>
        <w:bidi w:val="0"/>
        <w:spacing w:line="56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pageBreakBefore w:val="0"/>
        <w:kinsoku/>
        <w:wordWrap/>
        <w:overflowPunct/>
        <w:bidi w:val="0"/>
        <w:spacing w:line="560" w:lineRule="exact"/>
        <w:ind w:firstLine="640"/>
        <w:rPr>
          <w:rFonts w:ascii="仿宋" w:hAnsi="仿宋" w:eastAsia="仿宋"/>
          <w:b/>
          <w:color w:val="auto"/>
          <w:sz w:val="32"/>
          <w:szCs w:val="32"/>
          <w:highlight w:val="none"/>
        </w:rPr>
      </w:pPr>
      <w:r>
        <w:rPr>
          <w:rFonts w:ascii="仿宋_GB2312" w:eastAsia="仿宋_GB2312"/>
          <w:color w:val="000000"/>
          <w:sz w:val="32"/>
          <w:szCs w:val="32"/>
        </w:rPr>
        <w:pict>
          <v:shape id="Object 5" o:spid="_x0000_s1029" o:spt="75" type="#_x0000_t75" style="position:absolute;left:0pt;margin-left:-8.75pt;margin-top:-21.35pt;height:187.35pt;width:459.75pt;z-index:251662336;mso-width-relative:page;mso-height-relative:page;" o:ole="t" filled="f" o:preferrelative="t" stroked="f" coordsize="21600,21600">
            <v:path/>
            <v:fill on="f" focussize="0,0"/>
            <v:stroke on="f"/>
            <v:imagedata r:id="rId13" o:title=""/>
            <o:lock v:ext="edit" aspectratio="t"/>
          </v:shape>
          <o:OLEObject Type="Embed" ProgID="Excel.Sheet.12" ShapeID="Object 5" DrawAspect="Content" ObjectID="_1468075728" r:id="rId12">
            <o:LockedField>false</o:LockedField>
          </o:OLEObject>
        </w:pict>
      </w:r>
    </w:p>
    <w:p>
      <w:pPr>
        <w:pStyle w:val="2"/>
        <w:pageBreakBefore w:val="0"/>
        <w:kinsoku/>
        <w:wordWrap/>
        <w:overflowPunct/>
        <w:bidi w:val="0"/>
        <w:spacing w:line="560" w:lineRule="exact"/>
        <w:rPr>
          <w:rFonts w:ascii="仿宋" w:hAnsi="仿宋" w:eastAsia="仿宋"/>
          <w:b/>
          <w:color w:val="auto"/>
          <w:sz w:val="32"/>
          <w:szCs w:val="32"/>
          <w:highlight w:val="none"/>
        </w:rPr>
      </w:pPr>
    </w:p>
    <w:p>
      <w:pPr>
        <w:pStyle w:val="2"/>
        <w:pageBreakBefore w:val="0"/>
        <w:kinsoku/>
        <w:wordWrap/>
        <w:overflowPunct/>
        <w:bidi w:val="0"/>
        <w:spacing w:line="560" w:lineRule="exact"/>
        <w:rPr>
          <w:rFonts w:ascii="仿宋" w:hAnsi="仿宋" w:eastAsia="仿宋"/>
          <w:b/>
          <w:color w:val="auto"/>
          <w:sz w:val="32"/>
          <w:szCs w:val="32"/>
          <w:highlight w:val="none"/>
        </w:rPr>
      </w:pPr>
    </w:p>
    <w:p>
      <w:pPr>
        <w:pStyle w:val="2"/>
        <w:pageBreakBefore w:val="0"/>
        <w:kinsoku/>
        <w:wordWrap/>
        <w:overflowPunct/>
        <w:bidi w:val="0"/>
        <w:spacing w:line="560" w:lineRule="exact"/>
        <w:rPr>
          <w:rFonts w:ascii="仿宋" w:hAnsi="仿宋" w:eastAsia="仿宋"/>
          <w:b/>
          <w:color w:val="auto"/>
          <w:sz w:val="32"/>
          <w:szCs w:val="32"/>
          <w:highlight w:val="none"/>
        </w:rPr>
      </w:pPr>
    </w:p>
    <w:p>
      <w:pPr>
        <w:pStyle w:val="2"/>
        <w:pageBreakBefore w:val="0"/>
        <w:kinsoku/>
        <w:wordWrap/>
        <w:overflowPunct/>
        <w:bidi w:val="0"/>
        <w:spacing w:line="560" w:lineRule="exact"/>
        <w:rPr>
          <w:rFonts w:ascii="仿宋" w:hAnsi="仿宋" w:eastAsia="仿宋"/>
          <w:b/>
          <w:color w:val="auto"/>
          <w:sz w:val="32"/>
          <w:szCs w:val="32"/>
          <w:highlight w:val="none"/>
        </w:rPr>
      </w:pPr>
    </w:p>
    <w:p>
      <w:pPr>
        <w:pageBreakBefore w:val="0"/>
        <w:kinsoku/>
        <w:wordWrap/>
        <w:overflowPunct/>
        <w:bidi w:val="0"/>
        <w:spacing w:line="560" w:lineRule="exact"/>
        <w:ind w:firstLine="640" w:firstLineChars="200"/>
        <w:outlineLvl w:val="1"/>
        <w:rPr>
          <w:rStyle w:val="25"/>
          <w:rFonts w:ascii="黑体" w:hAnsi="黑体" w:eastAsia="黑体"/>
          <w:b w:val="0"/>
          <w:color w:val="auto"/>
          <w:highlight w:val="none"/>
        </w:rPr>
      </w:pPr>
      <w:bookmarkStart w:id="28" w:name="_Toc15396607"/>
      <w:bookmarkStart w:id="29"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般公共预算财政拨款支出决算情况说明</w:t>
      </w:r>
      <w:bookmarkEnd w:id="28"/>
      <w:bookmarkEnd w:id="29"/>
    </w:p>
    <w:p>
      <w:pPr>
        <w:pageBreakBefore w:val="0"/>
        <w:kinsoku/>
        <w:wordWrap/>
        <w:overflowPunct/>
        <w:bidi w:val="0"/>
        <w:spacing w:line="560" w:lineRule="exact"/>
        <w:ind w:firstLine="643" w:firstLineChars="200"/>
        <w:outlineLvl w:val="2"/>
        <w:rPr>
          <w:rFonts w:ascii="仿宋" w:hAnsi="仿宋" w:eastAsia="仿宋"/>
          <w:b/>
          <w:color w:val="auto"/>
          <w:sz w:val="32"/>
          <w:szCs w:val="32"/>
          <w:highlight w:val="none"/>
        </w:rPr>
      </w:pPr>
      <w:bookmarkStart w:id="30" w:name="_Toc15377210"/>
      <w:r>
        <w:rPr>
          <w:rFonts w:hint="eastAsia" w:ascii="仿宋" w:hAnsi="仿宋" w:eastAsia="仿宋"/>
          <w:b/>
          <w:color w:val="auto"/>
          <w:sz w:val="32"/>
          <w:szCs w:val="32"/>
          <w:highlight w:val="none"/>
        </w:rPr>
        <w:t>（一）一般公共预算财政拨款支出决算总体情况</w:t>
      </w:r>
      <w:bookmarkEnd w:id="30"/>
    </w:p>
    <w:p>
      <w:pPr>
        <w:pageBreakBefore w:val="0"/>
        <w:kinsoku/>
        <w:wordWrap/>
        <w:overflowPunct/>
        <w:bidi w:val="0"/>
        <w:spacing w:line="56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年一般公共预算财政拨款支出577.13万元，占本年支出合计的</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119.06</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25.99</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。主要变动原因是本年新增项目活动经费等。（图5：一般公共预算财政拨款支出决算变动情况）（柱状图）</w:t>
      </w:r>
    </w:p>
    <w:p>
      <w:pPr>
        <w:pageBreakBefore w:val="0"/>
        <w:kinsoku/>
        <w:wordWrap/>
        <w:overflowPunct/>
        <w:bidi w:val="0"/>
        <w:spacing w:line="560" w:lineRule="exact"/>
        <w:ind w:firstLine="640" w:firstLineChars="200"/>
        <w:rPr>
          <w:rFonts w:ascii="仿宋" w:hAnsi="仿宋" w:eastAsia="仿宋"/>
          <w:color w:val="auto"/>
          <w:sz w:val="32"/>
          <w:szCs w:val="32"/>
          <w:highlight w:val="none"/>
        </w:rPr>
      </w:pPr>
      <w:r>
        <w:rPr>
          <w:rFonts w:ascii="仿宋_GB2312" w:eastAsia="仿宋_GB2312"/>
          <w:color w:val="000000"/>
          <w:sz w:val="32"/>
          <w:szCs w:val="32"/>
        </w:rPr>
        <w:pict>
          <v:shape id="Object 6" o:spid="_x0000_s1030" o:spt="75" alt="" type="#_x0000_t75" style="position:absolute;left:0pt;margin-left:13.8pt;margin-top:3.4pt;height:161.25pt;width:415.95pt;z-index:251663360;mso-width-relative:page;mso-height-relative:page;" o:ole="t" filled="f" o:preferrelative="t" stroked="f" coordsize="21600,21600">
            <v:path/>
            <v:fill on="f" focussize="0,0"/>
            <v:stroke on="f"/>
            <v:imagedata r:id="rId15" o:title=""/>
            <o:lock v:ext="edit" aspectratio="t"/>
            <v:shadow on="t" obscured="f" color="#000000" opacity="65536f" offset="2pt,2pt" offset2="0pt,0pt" origin="0f,0f" matrix="65536f,0f,0f,65536f,0,0"/>
          </v:shape>
          <o:OLEObject Type="Embed" ProgID="Excel.Sheet.12" ShapeID="Object 6" DrawAspect="Content" ObjectID="_1468075729" r:id="rId14">
            <o:LockedField>false</o:LockedField>
          </o:OLEObject>
        </w:pict>
      </w:r>
    </w:p>
    <w:p>
      <w:pPr>
        <w:pStyle w:val="2"/>
        <w:pageBreakBefore w:val="0"/>
        <w:kinsoku/>
        <w:wordWrap/>
        <w:overflowPunct/>
        <w:bidi w:val="0"/>
        <w:spacing w:line="560" w:lineRule="exact"/>
        <w:rPr>
          <w:rFonts w:ascii="仿宋" w:hAnsi="仿宋" w:eastAsia="仿宋"/>
          <w:color w:val="auto"/>
          <w:sz w:val="32"/>
          <w:szCs w:val="32"/>
          <w:highlight w:val="none"/>
        </w:rPr>
      </w:pPr>
    </w:p>
    <w:p>
      <w:pPr>
        <w:pStyle w:val="2"/>
        <w:pageBreakBefore w:val="0"/>
        <w:kinsoku/>
        <w:wordWrap/>
        <w:overflowPunct/>
        <w:bidi w:val="0"/>
        <w:spacing w:line="560" w:lineRule="exact"/>
        <w:rPr>
          <w:rFonts w:ascii="仿宋" w:hAnsi="仿宋" w:eastAsia="仿宋"/>
          <w:color w:val="auto"/>
          <w:sz w:val="32"/>
          <w:szCs w:val="32"/>
          <w:highlight w:val="none"/>
        </w:rPr>
      </w:pPr>
    </w:p>
    <w:p>
      <w:pPr>
        <w:pStyle w:val="2"/>
        <w:pageBreakBefore w:val="0"/>
        <w:kinsoku/>
        <w:wordWrap/>
        <w:overflowPunct/>
        <w:bidi w:val="0"/>
        <w:spacing w:line="560" w:lineRule="exact"/>
        <w:rPr>
          <w:rFonts w:ascii="仿宋" w:hAnsi="仿宋" w:eastAsia="仿宋"/>
          <w:color w:val="auto"/>
          <w:sz w:val="32"/>
          <w:szCs w:val="32"/>
          <w:highlight w:val="none"/>
        </w:rPr>
      </w:pPr>
    </w:p>
    <w:p>
      <w:pPr>
        <w:pageBreakBefore w:val="0"/>
        <w:kinsoku/>
        <w:wordWrap/>
        <w:overflowPunct/>
        <w:bidi w:val="0"/>
        <w:spacing w:line="560" w:lineRule="exact"/>
        <w:ind w:firstLine="643" w:firstLineChars="200"/>
        <w:outlineLvl w:val="2"/>
        <w:rPr>
          <w:rFonts w:ascii="仿宋" w:hAnsi="仿宋" w:eastAsia="仿宋"/>
          <w:b/>
          <w:color w:val="auto"/>
          <w:sz w:val="32"/>
          <w:szCs w:val="32"/>
          <w:highlight w:val="none"/>
        </w:rPr>
      </w:pPr>
      <w:bookmarkStart w:id="31" w:name="_Toc15377211"/>
      <w:r>
        <w:rPr>
          <w:rFonts w:hint="eastAsia" w:ascii="仿宋" w:hAnsi="仿宋" w:eastAsia="仿宋"/>
          <w:b/>
          <w:color w:val="auto"/>
          <w:sz w:val="32"/>
          <w:szCs w:val="32"/>
          <w:highlight w:val="none"/>
        </w:rPr>
        <w:t>（二）一般公共预算财政拨款支出决算结构情况</w:t>
      </w:r>
      <w:bookmarkEnd w:id="31"/>
    </w:p>
    <w:p>
      <w:pPr>
        <w:pageBreakBefore w:val="0"/>
        <w:kinsoku/>
        <w:wordWrap/>
        <w:overflowPunct/>
        <w:bidi w:val="0"/>
        <w:spacing w:line="560" w:lineRule="exact"/>
        <w:ind w:firstLine="640"/>
        <w:rPr>
          <w:rFonts w:hint="eastAsia" w:ascii="仿宋" w:hAnsi="仿宋" w:eastAsia="仿宋"/>
          <w:b/>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年一般公共预算财政拨款支出577.13万元，主要用于以下方面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一般公共服务（类）</w:t>
      </w:r>
      <w:r>
        <w:rPr>
          <w:rFonts w:hint="eastAsia" w:ascii="仿宋" w:hAnsi="仿宋" w:eastAsia="仿宋"/>
          <w:color w:val="auto"/>
          <w:sz w:val="32"/>
          <w:szCs w:val="32"/>
          <w:highlight w:val="none"/>
        </w:rPr>
        <w:t>支出534.3万元，占</w:t>
      </w:r>
      <w:r>
        <w:rPr>
          <w:rFonts w:hint="eastAsia" w:ascii="仿宋" w:hAnsi="仿宋" w:eastAsia="仿宋"/>
          <w:color w:val="auto"/>
          <w:sz w:val="32"/>
          <w:szCs w:val="32"/>
          <w:highlight w:val="none"/>
          <w:lang w:val="en-US" w:eastAsia="zh-CN"/>
        </w:rPr>
        <w:t>92.58</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教育支出（类）</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科学技术（类）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文化旅游体育与传媒（类）支出</w:t>
      </w:r>
      <w:r>
        <w:rPr>
          <w:rFonts w:hint="eastAsia" w:ascii="仿宋" w:hAnsi="仿宋" w:eastAsia="仿宋"/>
          <w:b/>
          <w:bCs/>
          <w:color w:val="auto"/>
          <w:sz w:val="32"/>
          <w:szCs w:val="32"/>
          <w:highlight w:val="none"/>
          <w:lang w:val="en-US" w:eastAsia="zh-CN"/>
        </w:rPr>
        <w:t>0</w:t>
      </w:r>
      <w:r>
        <w:rPr>
          <w:rFonts w:hint="eastAsia" w:ascii="仿宋" w:hAnsi="仿宋" w:eastAsia="仿宋"/>
          <w:b/>
          <w:bCs/>
          <w:color w:val="auto"/>
          <w:sz w:val="32"/>
          <w:szCs w:val="32"/>
          <w:highlight w:val="none"/>
        </w:rPr>
        <w:t>万元，占</w:t>
      </w:r>
      <w:r>
        <w:rPr>
          <w:rFonts w:hint="eastAsia" w:ascii="仿宋" w:hAnsi="仿宋" w:eastAsia="仿宋"/>
          <w:b/>
          <w:bCs/>
          <w:color w:val="auto"/>
          <w:sz w:val="32"/>
          <w:szCs w:val="32"/>
          <w:highlight w:val="none"/>
          <w:lang w:val="en-US" w:eastAsia="zh-CN"/>
        </w:rPr>
        <w:t>0</w:t>
      </w:r>
      <w:r>
        <w:rPr>
          <w:rFonts w:ascii="仿宋" w:hAnsi="仿宋" w:eastAsia="仿宋"/>
          <w:b/>
          <w:bCs/>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社会保障和就业（类）</w:t>
      </w:r>
      <w:r>
        <w:rPr>
          <w:rFonts w:hint="eastAsia" w:ascii="仿宋" w:hAnsi="仿宋" w:eastAsia="仿宋"/>
          <w:color w:val="auto"/>
          <w:sz w:val="32"/>
          <w:szCs w:val="32"/>
          <w:highlight w:val="none"/>
        </w:rPr>
        <w:t>支出17.72万元，占</w:t>
      </w:r>
      <w:r>
        <w:rPr>
          <w:rFonts w:hint="eastAsia" w:ascii="仿宋" w:hAnsi="仿宋" w:eastAsia="仿宋"/>
          <w:color w:val="auto"/>
          <w:sz w:val="32"/>
          <w:szCs w:val="32"/>
          <w:highlight w:val="none"/>
          <w:lang w:val="en-US" w:eastAsia="zh-CN"/>
        </w:rPr>
        <w:t>3.07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color w:val="auto"/>
          <w:sz w:val="32"/>
          <w:szCs w:val="32"/>
          <w:highlight w:val="none"/>
        </w:rPr>
        <w:t>8.63万元，占</w:t>
      </w:r>
      <w:r>
        <w:rPr>
          <w:rFonts w:hint="eastAsia" w:ascii="仿宋" w:hAnsi="仿宋" w:eastAsia="仿宋"/>
          <w:color w:val="auto"/>
          <w:sz w:val="32"/>
          <w:szCs w:val="32"/>
          <w:highlight w:val="none"/>
          <w:lang w:val="en-US" w:eastAsia="zh-CN"/>
        </w:rPr>
        <w:t>1.5</w:t>
      </w:r>
      <w:r>
        <w:rPr>
          <w:rFonts w:ascii="仿宋" w:hAnsi="仿宋" w:eastAsia="仿宋"/>
          <w:color w:val="auto"/>
          <w:sz w:val="32"/>
          <w:szCs w:val="32"/>
          <w:highlight w:val="none"/>
        </w:rPr>
        <w:t>%</w:t>
      </w:r>
      <w:r>
        <w:rPr>
          <w:rFonts w:hint="eastAsia" w:ascii="仿宋" w:hAnsi="仿宋" w:eastAsia="仿宋"/>
          <w:color w:val="auto"/>
          <w:sz w:val="32"/>
          <w:szCs w:val="32"/>
          <w:highlight w:val="none"/>
        </w:rPr>
        <w:t>；住房保障支出16.49万元，占</w:t>
      </w:r>
      <w:r>
        <w:rPr>
          <w:rFonts w:hint="eastAsia" w:ascii="仿宋" w:hAnsi="仿宋" w:eastAsia="仿宋"/>
          <w:color w:val="auto"/>
          <w:sz w:val="32"/>
          <w:szCs w:val="32"/>
          <w:highlight w:val="none"/>
          <w:lang w:val="en-US" w:eastAsia="zh-CN"/>
        </w:rPr>
        <w:t>2.85</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pageBreakBefore w:val="0"/>
        <w:kinsoku/>
        <w:wordWrap/>
        <w:overflowPunct/>
        <w:bidi w:val="0"/>
        <w:spacing w:line="560" w:lineRule="exact"/>
        <w:ind w:firstLine="640"/>
        <w:rPr>
          <w:rFonts w:ascii="仿宋" w:hAnsi="仿宋" w:eastAsia="仿宋"/>
          <w:color w:val="auto"/>
          <w:sz w:val="32"/>
          <w:szCs w:val="32"/>
          <w:highlight w:val="none"/>
        </w:rPr>
      </w:pP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注：数据来源于财决</w:t>
      </w:r>
      <w:r>
        <w:rPr>
          <w:rFonts w:hint="eastAsia" w:ascii="仿宋" w:hAnsi="仿宋" w:eastAsia="仿宋"/>
          <w:b/>
          <w:color w:val="auto"/>
          <w:sz w:val="32"/>
          <w:szCs w:val="32"/>
          <w:highlight w:val="none"/>
          <w:lang w:val="en-US" w:eastAsia="zh-CN"/>
        </w:rPr>
        <w:t>01-1表，仅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本单位涉及的</w:t>
      </w:r>
      <w:r>
        <w:rPr>
          <w:rFonts w:hint="eastAsia" w:ascii="仿宋" w:hAnsi="仿宋" w:eastAsia="仿宋"/>
          <w:b/>
          <w:color w:val="auto"/>
          <w:sz w:val="32"/>
          <w:szCs w:val="32"/>
          <w:highlight w:val="none"/>
        </w:rPr>
        <w:t>全部功能分类科目，至类级。）</w:t>
      </w:r>
    </w:p>
    <w:p>
      <w:pPr>
        <w:pageBreakBefore w:val="0"/>
        <w:kinsoku/>
        <w:wordWrap/>
        <w:overflowPunct/>
        <w:bidi w:val="0"/>
        <w:spacing w:line="560" w:lineRule="exact"/>
        <w:ind w:firstLine="640" w:firstLineChars="200"/>
        <w:rPr>
          <w:rFonts w:ascii="仿宋" w:hAnsi="仿宋" w:eastAsia="仿宋"/>
          <w:color w:val="auto"/>
          <w:sz w:val="32"/>
          <w:szCs w:val="32"/>
          <w:highlight w:val="none"/>
        </w:rPr>
      </w:pPr>
      <w:r>
        <w:rPr>
          <w:rFonts w:ascii="仿宋" w:hAnsi="仿宋" w:eastAsia="仿宋"/>
          <w:color w:val="000000"/>
          <w:sz w:val="32"/>
          <w:szCs w:val="32"/>
        </w:rPr>
        <w:pict>
          <v:shape id="Object 8" o:spid="_x0000_s1031" o:spt="75" type="#_x0000_t75" style="position:absolute;left:0pt;margin-left:28.45pt;margin-top:27.45pt;height:200.8pt;width:339.35pt;z-index:251664384;mso-width-relative:page;mso-height-relative:page;" o:ole="t" filled="f" o:preferrelative="t" stroked="f" coordsize="21600,21600">
            <v:path/>
            <v:fill on="f" focussize="0,0"/>
            <v:stroke on="f"/>
            <v:imagedata r:id="rId17" o:title=""/>
            <o:lock v:ext="edit" aspectratio="t"/>
          </v:shape>
          <o:OLEObject Type="Embed" ProgID="Excel.Sheet.12" ShapeID="Object 8" DrawAspect="Content" ObjectID="_1468075730" r:id="rId16">
            <o:LockedField>false</o:LockedField>
          </o:OLEObject>
        </w:pict>
      </w:r>
      <w:r>
        <w:rPr>
          <w:rFonts w:hint="eastAsia" w:ascii="仿宋" w:hAnsi="仿宋" w:eastAsia="仿宋"/>
          <w:color w:val="auto"/>
          <w:sz w:val="32"/>
          <w:szCs w:val="32"/>
          <w:highlight w:val="none"/>
        </w:rPr>
        <w:t>（图6：一般公共预算财政拨款支出决算结构）（饼状图）</w:t>
      </w:r>
    </w:p>
    <w:p>
      <w:pPr>
        <w:pageBreakBefore w:val="0"/>
        <w:kinsoku/>
        <w:wordWrap/>
        <w:overflowPunct/>
        <w:bidi w:val="0"/>
        <w:spacing w:line="560" w:lineRule="exact"/>
        <w:ind w:firstLine="640" w:firstLineChars="200"/>
        <w:rPr>
          <w:rFonts w:ascii="仿宋" w:hAnsi="仿宋" w:eastAsia="仿宋"/>
          <w:color w:val="auto"/>
          <w:sz w:val="32"/>
          <w:szCs w:val="32"/>
          <w:highlight w:val="none"/>
        </w:rPr>
      </w:pPr>
    </w:p>
    <w:p>
      <w:pPr>
        <w:pStyle w:val="2"/>
        <w:pageBreakBefore w:val="0"/>
        <w:kinsoku/>
        <w:wordWrap/>
        <w:overflowPunct/>
        <w:bidi w:val="0"/>
        <w:spacing w:line="560" w:lineRule="exact"/>
        <w:rPr>
          <w:rFonts w:ascii="仿宋" w:hAnsi="仿宋" w:eastAsia="仿宋"/>
          <w:color w:val="auto"/>
          <w:sz w:val="32"/>
          <w:szCs w:val="32"/>
          <w:highlight w:val="none"/>
        </w:rPr>
      </w:pPr>
    </w:p>
    <w:p>
      <w:pPr>
        <w:pStyle w:val="2"/>
        <w:pageBreakBefore w:val="0"/>
        <w:kinsoku/>
        <w:wordWrap/>
        <w:overflowPunct/>
        <w:bidi w:val="0"/>
        <w:spacing w:line="560" w:lineRule="exact"/>
        <w:rPr>
          <w:rFonts w:ascii="仿宋" w:hAnsi="仿宋" w:eastAsia="仿宋"/>
          <w:color w:val="auto"/>
          <w:sz w:val="32"/>
          <w:szCs w:val="32"/>
          <w:highlight w:val="none"/>
        </w:rPr>
      </w:pPr>
    </w:p>
    <w:p>
      <w:pPr>
        <w:pStyle w:val="2"/>
        <w:pageBreakBefore w:val="0"/>
        <w:kinsoku/>
        <w:wordWrap/>
        <w:overflowPunct/>
        <w:bidi w:val="0"/>
        <w:spacing w:line="560" w:lineRule="exact"/>
        <w:rPr>
          <w:rFonts w:ascii="仿宋" w:hAnsi="仿宋" w:eastAsia="仿宋"/>
          <w:color w:val="auto"/>
          <w:sz w:val="32"/>
          <w:szCs w:val="32"/>
          <w:highlight w:val="none"/>
        </w:rPr>
      </w:pPr>
    </w:p>
    <w:p>
      <w:pPr>
        <w:pStyle w:val="2"/>
        <w:pageBreakBefore w:val="0"/>
        <w:kinsoku/>
        <w:wordWrap/>
        <w:overflowPunct/>
        <w:bidi w:val="0"/>
        <w:spacing w:line="560" w:lineRule="exact"/>
        <w:rPr>
          <w:rFonts w:ascii="仿宋" w:hAnsi="仿宋" w:eastAsia="仿宋"/>
          <w:color w:val="auto"/>
          <w:sz w:val="32"/>
          <w:szCs w:val="32"/>
          <w:highlight w:val="none"/>
        </w:rPr>
      </w:pPr>
    </w:p>
    <w:p>
      <w:pPr>
        <w:pStyle w:val="2"/>
        <w:pageBreakBefore w:val="0"/>
        <w:kinsoku/>
        <w:wordWrap/>
        <w:overflowPunct/>
        <w:bidi w:val="0"/>
        <w:spacing w:line="560" w:lineRule="exact"/>
        <w:rPr>
          <w:rFonts w:ascii="仿宋" w:hAnsi="仿宋" w:eastAsia="仿宋"/>
          <w:color w:val="auto"/>
          <w:sz w:val="32"/>
          <w:szCs w:val="32"/>
          <w:highlight w:val="none"/>
        </w:rPr>
      </w:pPr>
    </w:p>
    <w:p>
      <w:pPr>
        <w:pageBreakBefore w:val="0"/>
        <w:kinsoku/>
        <w:wordWrap/>
        <w:overflowPunct/>
        <w:bidi w:val="0"/>
        <w:spacing w:line="560" w:lineRule="exact"/>
        <w:ind w:firstLine="643" w:firstLineChars="200"/>
        <w:outlineLvl w:val="2"/>
        <w:rPr>
          <w:rFonts w:ascii="仿宋" w:hAnsi="仿宋" w:eastAsia="仿宋"/>
          <w:b/>
          <w:color w:val="auto"/>
          <w:sz w:val="32"/>
          <w:szCs w:val="32"/>
          <w:highlight w:val="none"/>
        </w:rPr>
      </w:pPr>
      <w:bookmarkStart w:id="32" w:name="_Toc15377212"/>
      <w:r>
        <w:rPr>
          <w:rFonts w:hint="eastAsia" w:ascii="仿宋" w:hAnsi="仿宋" w:eastAsia="仿宋"/>
          <w:b/>
          <w:color w:val="auto"/>
          <w:sz w:val="32"/>
          <w:szCs w:val="32"/>
          <w:highlight w:val="none"/>
        </w:rPr>
        <w:t>（三）一般公共预算财政拨款支出决算具体情况</w:t>
      </w:r>
      <w:bookmarkEnd w:id="32"/>
    </w:p>
    <w:p>
      <w:pPr>
        <w:pageBreakBefore w:val="0"/>
        <w:kinsoku/>
        <w:wordWrap/>
        <w:overflowPunct/>
        <w:bidi w:val="0"/>
        <w:spacing w:line="560" w:lineRule="exact"/>
        <w:ind w:firstLine="643" w:firstLineChars="200"/>
        <w:outlineLvl w:val="2"/>
        <w:rPr>
          <w:rFonts w:ascii="仿宋" w:hAnsi="仿宋" w:eastAsia="仿宋"/>
          <w:color w:val="auto"/>
          <w:sz w:val="32"/>
          <w:szCs w:val="32"/>
          <w:highlight w:val="none"/>
        </w:rPr>
      </w:pPr>
      <w:bookmarkStart w:id="33" w:name="_Toc15377444"/>
      <w:bookmarkStart w:id="34" w:name="_Toc15377213"/>
      <w:bookmarkStart w:id="35" w:name="_Toc15378460"/>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般公共预算支出决算数为577.13</w:t>
      </w:r>
      <w:r>
        <w:rPr>
          <w:rFonts w:hint="eastAsia" w:ascii="仿宋" w:hAnsi="仿宋" w:eastAsia="仿宋"/>
          <w:b/>
          <w:color w:val="auto"/>
          <w:sz w:val="32"/>
          <w:szCs w:val="32"/>
          <w:highlight w:val="none"/>
          <w:lang w:val="en-US" w:eastAsia="zh-CN"/>
        </w:rPr>
        <w:t>万元</w:t>
      </w:r>
      <w:r>
        <w:rPr>
          <w:rFonts w:hint="eastAsia" w:ascii="仿宋" w:hAnsi="仿宋" w:eastAsia="仿宋"/>
          <w:color w:val="auto"/>
          <w:sz w:val="32"/>
          <w:szCs w:val="32"/>
          <w:highlight w:val="none"/>
        </w:rPr>
        <w:t>，</w:t>
      </w:r>
      <w:r>
        <w:rPr>
          <w:rStyle w:val="14"/>
          <w:rFonts w:hint="eastAsia" w:ascii="仿宋" w:hAnsi="仿宋" w:eastAsia="仿宋"/>
          <w:bCs/>
          <w:color w:val="auto"/>
          <w:sz w:val="32"/>
          <w:szCs w:val="32"/>
          <w:highlight w:val="none"/>
        </w:rPr>
        <w:t>完成预算</w:t>
      </w:r>
      <w:r>
        <w:rPr>
          <w:rStyle w:val="14"/>
          <w:rFonts w:hint="eastAsia" w:ascii="仿宋" w:hAnsi="仿宋" w:eastAsia="仿宋"/>
          <w:bCs/>
          <w:color w:val="auto"/>
          <w:sz w:val="32"/>
          <w:szCs w:val="32"/>
          <w:highlight w:val="none"/>
          <w:lang w:val="en-US" w:eastAsia="zh-CN"/>
        </w:rPr>
        <w:t>100</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。其中：</w:t>
      </w:r>
      <w:bookmarkEnd w:id="33"/>
      <w:bookmarkEnd w:id="34"/>
      <w:bookmarkEnd w:id="35"/>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一般公共服务（类）群众团体事务（款）行政运行（项）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支出决算为178.83万元，完成预算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一般公共服务（类）群众团体事务（款） 一般行政管理事务（项）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支出决算为287.21万元，完成预算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一般公共服务（类）群众团体事务（款）</w:t>
      </w:r>
      <w:r>
        <w:rPr>
          <w:rStyle w:val="14"/>
          <w:rFonts w:hint="eastAsia" w:ascii="仿宋" w:hAnsi="仿宋" w:eastAsia="仿宋"/>
          <w:bCs/>
          <w:color w:val="000000"/>
          <w:sz w:val="32"/>
          <w:szCs w:val="32"/>
          <w:lang w:val="en-US" w:eastAsia="zh-CN"/>
        </w:rPr>
        <w:t xml:space="preserve"> </w:t>
      </w:r>
      <w:r>
        <w:rPr>
          <w:rStyle w:val="14"/>
          <w:rFonts w:hint="eastAsia" w:ascii="仿宋" w:hAnsi="仿宋" w:eastAsia="仿宋"/>
          <w:bCs/>
          <w:color w:val="000000"/>
          <w:sz w:val="32"/>
          <w:szCs w:val="32"/>
        </w:rPr>
        <w:t>事业运行（项）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支出决算为27.66万元，完成预算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一般公共服务（类）群众团体事务（款）其他群众团体事务支出（项）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支出决算为40.6万元，完成预算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社会保障和就业（类）行政事业单位养老支出（款） 行政单位离退休（项）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支出决算为2.8万元，完成预算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6.</w:t>
      </w:r>
      <w:r>
        <w:rPr>
          <w:rStyle w:val="14"/>
          <w:rFonts w:hint="eastAsia" w:ascii="仿宋" w:hAnsi="仿宋" w:eastAsia="仿宋"/>
          <w:bCs/>
          <w:color w:val="000000"/>
          <w:sz w:val="32"/>
          <w:szCs w:val="32"/>
        </w:rPr>
        <w:t>社会保障和就业（类）行政事业单位养老支出（款）  机关事业单位基本养老保险缴费支出（项）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支出决算为14.45万元，完成预算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7.</w:t>
      </w:r>
      <w:r>
        <w:rPr>
          <w:rStyle w:val="14"/>
          <w:rFonts w:hint="eastAsia" w:ascii="仿宋" w:hAnsi="仿宋" w:eastAsia="仿宋"/>
          <w:bCs/>
          <w:color w:val="000000"/>
          <w:sz w:val="32"/>
          <w:szCs w:val="32"/>
        </w:rPr>
        <w:t>社会保障和就业支出（类）抚恤（款）死亡抚恤（项）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支出决算为0.47万元，完成预算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8</w:t>
      </w:r>
      <w:r>
        <w:rPr>
          <w:rStyle w:val="14"/>
          <w:rFonts w:ascii="仿宋" w:hAnsi="仿宋" w:eastAsia="仿宋"/>
          <w:bCs/>
          <w:color w:val="000000"/>
          <w:sz w:val="32"/>
          <w:szCs w:val="32"/>
        </w:rPr>
        <w:t>.</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（类）行政事业单位医疗（款）行政单位医疗（项）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支出决算为6.89万元，完成预算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0" w:firstLineChars="200"/>
        <w:rPr>
          <w:rStyle w:val="14"/>
          <w:rFonts w:hint="eastAsia"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9.</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（类）行政事业单位医疗（款）事业单位医疗（项）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支出决算为1.74万元，完成预算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0" w:firstLineChars="200"/>
        <w:rPr>
          <w:rStyle w:val="14"/>
          <w:rFonts w:hint="eastAsia"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10.</w:t>
      </w:r>
      <w:r>
        <w:rPr>
          <w:rFonts w:hint="eastAsia" w:ascii="仿宋" w:hAnsi="仿宋" w:eastAsia="仿宋"/>
          <w:b/>
          <w:bCs/>
          <w:color w:val="000000"/>
          <w:sz w:val="32"/>
          <w:szCs w:val="32"/>
        </w:rPr>
        <w:t>住房保障支出</w:t>
      </w:r>
      <w:r>
        <w:rPr>
          <w:rStyle w:val="14"/>
          <w:rFonts w:hint="eastAsia" w:ascii="仿宋" w:hAnsi="仿宋" w:eastAsia="仿宋"/>
          <w:bCs/>
          <w:color w:val="000000"/>
          <w:sz w:val="32"/>
          <w:szCs w:val="32"/>
        </w:rPr>
        <w:t>（类）住房改革支出（款）住房公积金（项）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支出决算为16.49万元，完成预算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1-1表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本单位涉及的</w:t>
      </w:r>
      <w:r>
        <w:rPr>
          <w:rFonts w:hint="eastAsia" w:ascii="仿宋" w:hAnsi="仿宋" w:eastAsia="仿宋"/>
          <w:b/>
          <w:color w:val="auto"/>
          <w:sz w:val="32"/>
          <w:szCs w:val="32"/>
          <w:highlight w:val="none"/>
        </w:rPr>
        <w:t>全部功能分类科目</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rPr>
        <w:t>至项级。上述“预算”口径为调整预算数。增减变动原因为决算数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和调整预算数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比较，与预算数持平可以不写原因。）</w:t>
      </w:r>
    </w:p>
    <w:p>
      <w:pPr>
        <w:pageBreakBefore w:val="0"/>
        <w:kinsoku/>
        <w:wordWrap/>
        <w:overflowPunct/>
        <w:bidi w:val="0"/>
        <w:spacing w:line="560" w:lineRule="exact"/>
        <w:ind w:firstLine="640"/>
        <w:rPr>
          <w:rFonts w:ascii="仿宋" w:hAnsi="仿宋" w:eastAsia="仿宋"/>
          <w:b/>
          <w:color w:val="auto"/>
          <w:sz w:val="32"/>
          <w:szCs w:val="32"/>
          <w:highlight w:val="none"/>
        </w:rPr>
      </w:pPr>
    </w:p>
    <w:p>
      <w:pPr>
        <w:pageBreakBefore w:val="0"/>
        <w:tabs>
          <w:tab w:val="right" w:pos="8306"/>
        </w:tabs>
        <w:kinsoku/>
        <w:wordWrap/>
        <w:overflowPunct/>
        <w:bidi w:val="0"/>
        <w:spacing w:line="560" w:lineRule="exact"/>
        <w:ind w:firstLine="640"/>
        <w:outlineLvl w:val="1"/>
        <w:rPr>
          <w:rStyle w:val="25"/>
          <w:color w:val="auto"/>
          <w:highlight w:val="none"/>
        </w:rPr>
      </w:pPr>
      <w:bookmarkStart w:id="36" w:name="_Toc15396608"/>
      <w:bookmarkStart w:id="37"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般公共预算财政拨款基本支出决算情况说明</w:t>
      </w:r>
      <w:bookmarkEnd w:id="36"/>
      <w:bookmarkEnd w:id="37"/>
      <w:r>
        <w:rPr>
          <w:rStyle w:val="25"/>
          <w:rFonts w:ascii="黑体" w:hAnsi="黑体" w:eastAsia="黑体"/>
          <w:b w:val="0"/>
          <w:color w:val="auto"/>
          <w:highlight w:val="none"/>
        </w:rPr>
        <w:tab/>
      </w:r>
    </w:p>
    <w:p>
      <w:pPr>
        <w:pageBreakBefore w:val="0"/>
        <w:kinsoku/>
        <w:wordWrap/>
        <w:overflowPunct/>
        <w:bidi w:val="0"/>
        <w:spacing w:line="56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年一般公共预算财政拨款基本支出249.32万元，其中：</w:t>
      </w:r>
    </w:p>
    <w:p>
      <w:pPr>
        <w:pageBreakBefore w:val="0"/>
        <w:kinsoku/>
        <w:wordWrap/>
        <w:overflowPunct/>
        <w:bidi w:val="0"/>
        <w:spacing w:line="56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rPr>
        <w:t>人员经费206.64万元，主要包括：基本工资、津贴补贴、奖金、绩效工资、机关事业单位基本养老保险缴费、其他社会保障缴费、其他工资福利支出、生活补助</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住房公积金、其他对个人和家庭的补助支出等。</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42.68万元，主要包括：办公费、印刷费、邮电费、物业管理费、差旅费、维修（护）费、会议费、培训费、公务接待费、劳务费、委托业务费、工会经费、福利费、公务用车运行维护费、其他交通费、其他商品和服务支出、等。</w:t>
      </w:r>
    </w:p>
    <w:p>
      <w:pPr>
        <w:pageBreakBefore w:val="0"/>
        <w:kinsoku/>
        <w:wordWrap/>
        <w:overflowPunct/>
        <w:bidi w:val="0"/>
        <w:spacing w:line="560" w:lineRule="exact"/>
        <w:ind w:firstLine="645"/>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7表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08-1表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仅罗列</w:t>
      </w:r>
      <w:r>
        <w:rPr>
          <w:rFonts w:hint="eastAsia" w:ascii="仿宋" w:hAnsi="仿宋" w:eastAsia="仿宋"/>
          <w:b/>
          <w:color w:val="auto"/>
          <w:sz w:val="32"/>
          <w:szCs w:val="32"/>
          <w:highlight w:val="none"/>
        </w:rPr>
        <w:t>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实际支出</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经济分类科目。）</w:t>
      </w:r>
    </w:p>
    <w:p>
      <w:pPr>
        <w:pageBreakBefore w:val="0"/>
        <w:kinsoku/>
        <w:wordWrap/>
        <w:overflowPunct/>
        <w:bidi w:val="0"/>
        <w:spacing w:line="560" w:lineRule="exact"/>
        <w:ind w:firstLine="640"/>
        <w:rPr>
          <w:rFonts w:ascii="仿宋" w:hAnsi="仿宋" w:eastAsia="仿宋"/>
          <w:b/>
          <w:color w:val="auto"/>
          <w:sz w:val="32"/>
          <w:szCs w:val="32"/>
          <w:highlight w:val="none"/>
        </w:rPr>
      </w:pPr>
    </w:p>
    <w:p>
      <w:pPr>
        <w:pageBreakBefore w:val="0"/>
        <w:kinsoku/>
        <w:wordWrap/>
        <w:overflowPunct/>
        <w:bidi w:val="0"/>
        <w:spacing w:line="560" w:lineRule="exact"/>
        <w:ind w:firstLine="640"/>
        <w:outlineLvl w:val="1"/>
        <w:rPr>
          <w:rStyle w:val="25"/>
          <w:rFonts w:ascii="黑体" w:hAnsi="黑体" w:eastAsia="黑体"/>
          <w:b w:val="0"/>
          <w:color w:val="auto"/>
          <w:highlight w:val="none"/>
        </w:rPr>
      </w:pPr>
      <w:bookmarkStart w:id="38" w:name="_Toc15396609"/>
      <w:bookmarkStart w:id="39" w:name="_Toc15377215"/>
      <w:r>
        <w:rPr>
          <w:rFonts w:hint="eastAsia" w:ascii="黑体" w:eastAsia="黑体"/>
          <w:color w:val="auto"/>
          <w:sz w:val="32"/>
          <w:szCs w:val="32"/>
          <w:highlight w:val="none"/>
        </w:rPr>
        <w:t>七、</w:t>
      </w:r>
      <w:r>
        <w:rPr>
          <w:rStyle w:val="25"/>
          <w:rFonts w:hint="eastAsia" w:ascii="黑体" w:hAnsi="黑体" w:eastAsia="黑体"/>
          <w:color w:val="auto"/>
          <w:highlight w:val="none"/>
        </w:rPr>
        <w:t>“</w:t>
      </w:r>
      <w:r>
        <w:rPr>
          <w:rStyle w:val="25"/>
          <w:rFonts w:hint="eastAsia" w:ascii="黑体" w:hAnsi="黑体" w:eastAsia="黑体"/>
          <w:b w:val="0"/>
          <w:color w:val="auto"/>
          <w:highlight w:val="none"/>
        </w:rPr>
        <w:t>三公”经费财政拨款支出决算情况说明</w:t>
      </w:r>
      <w:bookmarkEnd w:id="38"/>
      <w:bookmarkEnd w:id="39"/>
    </w:p>
    <w:p>
      <w:pPr>
        <w:pageBreakBefore w:val="0"/>
        <w:kinsoku/>
        <w:wordWrap/>
        <w:overflowPunct/>
        <w:bidi w:val="0"/>
        <w:spacing w:line="560" w:lineRule="exact"/>
        <w:ind w:firstLine="640"/>
        <w:outlineLvl w:val="2"/>
        <w:rPr>
          <w:rFonts w:ascii="仿宋" w:hAnsi="仿宋" w:eastAsia="仿宋"/>
          <w:b/>
          <w:color w:val="auto"/>
          <w:sz w:val="32"/>
          <w:szCs w:val="32"/>
          <w:highlight w:val="none"/>
        </w:rPr>
      </w:pPr>
      <w:bookmarkStart w:id="40" w:name="_Toc15377216"/>
      <w:r>
        <w:rPr>
          <w:rFonts w:hint="eastAsia" w:ascii="仿宋" w:hAnsi="仿宋" w:eastAsia="仿宋"/>
          <w:b/>
          <w:color w:val="auto"/>
          <w:sz w:val="32"/>
          <w:szCs w:val="32"/>
          <w:highlight w:val="none"/>
        </w:rPr>
        <w:t>（一）“三公”经费财政拨款支出决算总体情况说明</w:t>
      </w:r>
      <w:bookmarkEnd w:id="40"/>
    </w:p>
    <w:p>
      <w:pPr>
        <w:pageBreakBefore w:val="0"/>
        <w:kinsoku/>
        <w:wordWrap/>
        <w:overflowPunct/>
        <w:bidi w:val="0"/>
        <w:spacing w:line="56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年“三公”经费财政拨款支出决算为4.18万元，完成预算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，决算数与预算数持平。</w:t>
      </w:r>
    </w:p>
    <w:p>
      <w:pPr>
        <w:pageBreakBefore w:val="0"/>
        <w:kinsoku/>
        <w:wordWrap/>
        <w:overflowPunct/>
        <w:bidi w:val="0"/>
        <w:spacing w:line="56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（注：上述“预算”口径为调整预算数，包括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pPr>
        <w:pageBreakBefore w:val="0"/>
        <w:kinsoku/>
        <w:wordWrap/>
        <w:overflowPunct/>
        <w:bidi w:val="0"/>
        <w:spacing w:line="560" w:lineRule="exact"/>
        <w:ind w:firstLine="640"/>
        <w:outlineLvl w:val="2"/>
        <w:rPr>
          <w:rFonts w:ascii="仿宋" w:hAnsi="仿宋" w:eastAsia="仿宋"/>
          <w:b/>
          <w:color w:val="auto"/>
          <w:sz w:val="32"/>
          <w:szCs w:val="32"/>
          <w:highlight w:val="none"/>
        </w:rPr>
      </w:pPr>
      <w:bookmarkStart w:id="41" w:name="_Toc15377217"/>
      <w:r>
        <w:rPr>
          <w:rFonts w:hint="eastAsia" w:ascii="仿宋" w:hAnsi="仿宋" w:eastAsia="仿宋"/>
          <w:b/>
          <w:color w:val="auto"/>
          <w:sz w:val="32"/>
          <w:szCs w:val="32"/>
          <w:highlight w:val="none"/>
        </w:rPr>
        <w:t>（二）“三公”经费财政拨款支出决算具体情况说明</w:t>
      </w:r>
      <w:bookmarkEnd w:id="41"/>
    </w:p>
    <w:p>
      <w:pPr>
        <w:pageBreakBefore w:val="0"/>
        <w:kinsoku/>
        <w:wordWrap/>
        <w:overflowPunct/>
        <w:bidi w:val="0"/>
        <w:spacing w:line="56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3.8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90.91</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；公务接待费支出决算0.38万元，占</w:t>
      </w:r>
      <w:r>
        <w:rPr>
          <w:rFonts w:hint="eastAsia" w:ascii="仿宋" w:hAnsi="仿宋" w:eastAsia="仿宋"/>
          <w:color w:val="auto"/>
          <w:sz w:val="32"/>
          <w:szCs w:val="32"/>
          <w:highlight w:val="none"/>
          <w:lang w:val="en-US" w:eastAsia="zh-CN"/>
        </w:rPr>
        <w:t>9.09</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pageBreakBefore w:val="0"/>
        <w:kinsoku/>
        <w:wordWrap/>
        <w:overflowPunct/>
        <w:bidi w:val="0"/>
        <w:spacing w:line="56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pPr>
        <w:pageBreakBefore w:val="0"/>
        <w:kinsoku/>
        <w:wordWrap/>
        <w:overflowPunct/>
        <w:bidi w:val="0"/>
        <w:spacing w:line="56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p>
    <w:p>
      <w:pPr>
        <w:pageBreakBefore w:val="0"/>
        <w:kinsoku/>
        <w:wordWrap/>
        <w:overflowPunct/>
        <w:bidi w:val="0"/>
        <w:spacing w:line="560" w:lineRule="exact"/>
        <w:ind w:firstLine="640"/>
        <w:rPr>
          <w:rFonts w:ascii="仿宋_GB2312" w:eastAsia="仿宋_GB2312"/>
          <w:color w:val="auto"/>
          <w:sz w:val="32"/>
          <w:szCs w:val="32"/>
          <w:highlight w:val="none"/>
        </w:rPr>
      </w:pPr>
      <w:r>
        <w:rPr>
          <w:rFonts w:hint="eastAsia" w:ascii="仿宋_GB2312" w:eastAsia="仿宋_GB2312"/>
          <w:color w:val="auto"/>
          <w:sz w:val="32"/>
          <w:szCs w:val="32"/>
          <w:highlight w:val="none"/>
        </w:rPr>
        <w:t>开支内容包括：…（团组名称、出访地点、取得成效）等。</w:t>
      </w:r>
    </w:p>
    <w:p>
      <w:pPr>
        <w:pageBreakBefore w:val="0"/>
        <w:kinsoku/>
        <w:wordWrap/>
        <w:overflowPunct/>
        <w:bidi w:val="0"/>
        <w:spacing w:line="56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公务用车购置及运行维护费支出3.8</w:t>
      </w:r>
      <w:r>
        <w:rPr>
          <w:rFonts w:hint="eastAsia" w:ascii="仿宋_GB2312" w:eastAsia="仿宋_GB2312"/>
          <w:color w:val="auto"/>
          <w:sz w:val="32"/>
          <w:szCs w:val="32"/>
          <w:highlight w:val="none"/>
        </w:rPr>
        <w:t>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0.64</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20.25</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p>
    <w:p>
      <w:pPr>
        <w:pageBreakBefore w:val="0"/>
        <w:kinsoku/>
        <w:wordWrap/>
        <w:overflowPunct/>
        <w:bidi w:val="0"/>
        <w:spacing w:line="56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pPr>
        <w:pageBreakBefore w:val="0"/>
        <w:kinsoku/>
        <w:wordWrap/>
        <w:overflowPunct/>
        <w:bidi w:val="0"/>
        <w:spacing w:line="56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rPr>
        <w:t>3.8万元。主要用于</w:t>
      </w:r>
      <w:r>
        <w:rPr>
          <w:rFonts w:hint="eastAsia" w:ascii="仿宋_GB2312" w:eastAsia="仿宋_GB2312"/>
          <w:color w:val="auto"/>
          <w:sz w:val="32"/>
          <w:szCs w:val="32"/>
          <w:highlight w:val="none"/>
          <w:lang w:eastAsia="zh-CN"/>
        </w:rPr>
        <w:t>市妇联公务用车</w:t>
      </w:r>
      <w:r>
        <w:rPr>
          <w:rFonts w:hint="eastAsia" w:ascii="仿宋_GB2312" w:eastAsia="仿宋_GB2312"/>
          <w:color w:val="auto"/>
          <w:sz w:val="32"/>
          <w:szCs w:val="32"/>
          <w:highlight w:val="none"/>
        </w:rPr>
        <w:t>等所需的公务用车燃料费、维修费、过路过桥费、保险费等支出。</w:t>
      </w:r>
    </w:p>
    <w:p>
      <w:pPr>
        <w:pageBreakBefore w:val="0"/>
        <w:kinsoku/>
        <w:wordWrap/>
        <w:overflowPunct/>
        <w:bidi w:val="0"/>
        <w:spacing w:line="56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rPr>
        <w:t>0.38万元，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0.22</w:t>
      </w:r>
      <w:r>
        <w:rPr>
          <w:rFonts w:hint="eastAsia" w:ascii="仿宋_GB2312" w:eastAsia="仿宋_GB2312"/>
          <w:color w:val="auto"/>
          <w:sz w:val="32"/>
          <w:szCs w:val="32"/>
          <w:highlight w:val="none"/>
        </w:rPr>
        <w:t>万元，下降36.73</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。主要原因是本年减少接待次数和人数。其中：</w:t>
      </w:r>
    </w:p>
    <w:p>
      <w:pPr>
        <w:pageBreakBefore w:val="0"/>
        <w:kinsoku/>
        <w:wordWrap/>
        <w:overflowPunct/>
        <w:bidi w:val="0"/>
        <w:spacing w:line="560" w:lineRule="exact"/>
        <w:ind w:firstLine="640"/>
        <w:rPr>
          <w:rFonts w:hint="default" w:ascii="仿宋_GB2312" w:eastAsia="仿宋_GB2312"/>
          <w:color w:val="auto"/>
          <w:sz w:val="32"/>
          <w:szCs w:val="32"/>
          <w:highlight w:val="none"/>
          <w:lang w:val="en-US"/>
        </w:rPr>
      </w:pPr>
      <w:r>
        <w:rPr>
          <w:rFonts w:hint="eastAsia" w:ascii="仿宋" w:hAnsi="仿宋" w:eastAsia="仿宋"/>
          <w:b/>
          <w:color w:val="auto"/>
          <w:sz w:val="32"/>
          <w:szCs w:val="32"/>
          <w:highlight w:val="none"/>
        </w:rPr>
        <w:t>国内公务接待支出</w:t>
      </w:r>
      <w:r>
        <w:rPr>
          <w:rFonts w:hint="eastAsia" w:ascii="仿宋_GB2312" w:eastAsia="仿宋_GB2312"/>
          <w:color w:val="auto"/>
          <w:sz w:val="32"/>
          <w:szCs w:val="32"/>
          <w:highlight w:val="none"/>
        </w:rPr>
        <w:t>0.38万元，主要用于</w:t>
      </w:r>
      <w:r>
        <w:rPr>
          <w:rFonts w:hint="eastAsia" w:ascii="仿宋_GB2312" w:eastAsia="仿宋_GB2312"/>
          <w:color w:val="auto"/>
          <w:sz w:val="32"/>
          <w:szCs w:val="32"/>
          <w:highlight w:val="none"/>
          <w:lang w:val="en-US" w:eastAsia="zh-CN"/>
        </w:rPr>
        <w:t>接待省家庭教育五年规划终期评估检查接待费、支省妇联赴遂调研工作用餐等</w:t>
      </w:r>
      <w:r>
        <w:rPr>
          <w:rFonts w:hint="eastAsia" w:ascii="仿宋_GB2312" w:eastAsia="仿宋_GB2312"/>
          <w:color w:val="auto"/>
          <w:sz w:val="32"/>
          <w:szCs w:val="32"/>
          <w:highlight w:val="none"/>
        </w:rPr>
        <w:t>。国内公务接待4批次，39人次（不包括陪同人员），共计支出</w:t>
      </w:r>
      <w:r>
        <w:rPr>
          <w:rFonts w:hint="eastAsia" w:ascii="仿宋_GB2312" w:eastAsia="仿宋_GB2312"/>
          <w:color w:val="auto"/>
          <w:sz w:val="32"/>
          <w:szCs w:val="32"/>
          <w:highlight w:val="none"/>
          <w:lang w:val="en-US" w:eastAsia="zh-CN"/>
        </w:rPr>
        <w:t>0.38</w:t>
      </w:r>
      <w:r>
        <w:rPr>
          <w:rFonts w:hint="eastAsia" w:ascii="仿宋_GB2312" w:eastAsia="仿宋_GB2312"/>
          <w:color w:val="auto"/>
          <w:sz w:val="32"/>
          <w:szCs w:val="32"/>
          <w:highlight w:val="none"/>
        </w:rPr>
        <w:t>万元，具体内容包括：</w:t>
      </w:r>
      <w:r>
        <w:rPr>
          <w:rFonts w:hint="eastAsia" w:ascii="仿宋_GB2312" w:eastAsia="仿宋_GB2312"/>
          <w:color w:val="auto"/>
          <w:sz w:val="32"/>
          <w:szCs w:val="32"/>
          <w:highlight w:val="none"/>
          <w:lang w:val="en-US" w:eastAsia="zh-CN"/>
        </w:rPr>
        <w:t>接待省家庭教育五年规划终期评估检查接待费1000元、支省妇联赴遂调研工作用餐579元等。</w:t>
      </w:r>
    </w:p>
    <w:p>
      <w:pPr>
        <w:pageBreakBefore w:val="0"/>
        <w:kinsoku/>
        <w:wordWrap/>
        <w:overflowPunct/>
        <w:bidi w:val="0"/>
        <w:spacing w:line="560" w:lineRule="exact"/>
        <w:ind w:firstLine="643" w:firstLineChars="200"/>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万元，主要用于接待</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（具体项目）。主要用于……</w:t>
      </w:r>
    </w:p>
    <w:p>
      <w:pPr>
        <w:pageBreakBefore w:val="0"/>
        <w:kinsoku/>
        <w:wordWrap/>
        <w:overflowPunct/>
        <w:bidi w:val="0"/>
        <w:spacing w:line="560" w:lineRule="exact"/>
        <w:ind w:firstLine="640"/>
        <w:outlineLvl w:val="1"/>
        <w:rPr>
          <w:rFonts w:ascii="黑体" w:eastAsia="黑体"/>
          <w:color w:val="auto"/>
          <w:sz w:val="32"/>
          <w:szCs w:val="32"/>
          <w:highlight w:val="none"/>
        </w:rPr>
      </w:pPr>
      <w:bookmarkStart w:id="42" w:name="_Toc15396610"/>
      <w:bookmarkStart w:id="43" w:name="_Toc15377218"/>
    </w:p>
    <w:p>
      <w:pPr>
        <w:pageBreakBefore w:val="0"/>
        <w:kinsoku/>
        <w:wordWrap/>
        <w:overflowPunct/>
        <w:bidi w:val="0"/>
        <w:spacing w:line="560" w:lineRule="exact"/>
        <w:ind w:firstLine="640"/>
        <w:outlineLvl w:val="1"/>
        <w:rPr>
          <w:rStyle w:val="25"/>
          <w:rFonts w:ascii="黑体" w:hAnsi="黑体" w:eastAsia="黑体"/>
          <w:color w:val="auto"/>
          <w:highlight w:val="none"/>
        </w:rPr>
      </w:pPr>
      <w:r>
        <w:rPr>
          <w:rFonts w:hint="eastAsia" w:ascii="黑体" w:eastAsia="黑体"/>
          <w:color w:val="auto"/>
          <w:sz w:val="32"/>
          <w:szCs w:val="32"/>
          <w:highlight w:val="none"/>
        </w:rPr>
        <w:t>八、</w:t>
      </w:r>
      <w:r>
        <w:rPr>
          <w:rStyle w:val="25"/>
          <w:rFonts w:hint="eastAsia" w:ascii="黑体" w:hAnsi="黑体" w:eastAsia="黑体"/>
          <w:b w:val="0"/>
          <w:color w:val="auto"/>
          <w:highlight w:val="none"/>
        </w:rPr>
        <w:t>政府性基金预算支出决算情况说明</w:t>
      </w:r>
      <w:bookmarkEnd w:id="42"/>
      <w:bookmarkEnd w:id="43"/>
    </w:p>
    <w:p>
      <w:pPr>
        <w:pageBreakBefore w:val="0"/>
        <w:kinsoku/>
        <w:wordWrap/>
        <w:overflowPunct/>
        <w:bidi w:val="0"/>
        <w:spacing w:line="56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pageBreakBefore w:val="0"/>
        <w:kinsoku/>
        <w:wordWrap/>
        <w:overflowPunct/>
        <w:bidi w:val="0"/>
        <w:spacing w:line="560" w:lineRule="exact"/>
        <w:ind w:firstLine="640"/>
        <w:rPr>
          <w:rFonts w:ascii="仿宋_GB2312" w:eastAsia="仿宋_GB2312"/>
          <w:color w:val="auto"/>
          <w:sz w:val="32"/>
          <w:szCs w:val="32"/>
          <w:highlight w:val="none"/>
        </w:rPr>
      </w:pPr>
    </w:p>
    <w:p>
      <w:pPr>
        <w:pageBreakBefore w:val="0"/>
        <w:numPr>
          <w:ilvl w:val="0"/>
          <w:numId w:val="3"/>
        </w:numPr>
        <w:kinsoku/>
        <w:wordWrap/>
        <w:overflowPunct/>
        <w:bidi w:val="0"/>
        <w:spacing w:line="560" w:lineRule="exact"/>
        <w:ind w:firstLine="640"/>
        <w:outlineLvl w:val="1"/>
        <w:rPr>
          <w:rStyle w:val="25"/>
          <w:rFonts w:ascii="黑体" w:hAnsi="黑体" w:eastAsia="黑体"/>
          <w:b w:val="0"/>
          <w:color w:val="auto"/>
          <w:highlight w:val="none"/>
        </w:rPr>
      </w:pPr>
      <w:bookmarkStart w:id="44" w:name="_Toc15377219"/>
      <w:bookmarkStart w:id="45" w:name="_Toc15396611"/>
      <w:r>
        <w:rPr>
          <w:rStyle w:val="25"/>
          <w:rFonts w:hint="eastAsia" w:ascii="黑体" w:hAnsi="黑体" w:eastAsia="黑体"/>
          <w:b w:val="0"/>
          <w:color w:val="auto"/>
          <w:highlight w:val="none"/>
        </w:rPr>
        <w:t>国有资本经营预算支出决算情况说明</w:t>
      </w:r>
      <w:bookmarkEnd w:id="44"/>
      <w:bookmarkEnd w:id="45"/>
    </w:p>
    <w:p>
      <w:pPr>
        <w:pageBreakBefore w:val="0"/>
        <w:kinsoku/>
        <w:wordWrap/>
        <w:overflowPunct/>
        <w:bidi w:val="0"/>
        <w:spacing w:line="56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pageBreakBefore w:val="0"/>
        <w:kinsoku/>
        <w:wordWrap/>
        <w:overflowPunct/>
        <w:bidi w:val="0"/>
        <w:spacing w:line="560" w:lineRule="exact"/>
        <w:jc w:val="center"/>
        <w:rPr>
          <w:rFonts w:ascii="方正小标宋简体" w:hAnsi="方正小标宋简体" w:eastAsia="方正小标宋简体" w:cs="方正小标宋简体"/>
          <w:color w:val="auto"/>
          <w:sz w:val="44"/>
          <w:szCs w:val="44"/>
          <w:highlight w:val="none"/>
        </w:rPr>
      </w:pPr>
    </w:p>
    <w:p>
      <w:pPr>
        <w:pageBreakBefore w:val="0"/>
        <w:numPr>
          <w:ilvl w:val="0"/>
          <w:numId w:val="3"/>
        </w:numPr>
        <w:kinsoku/>
        <w:wordWrap/>
        <w:overflowPunct/>
        <w:bidi w:val="0"/>
        <w:spacing w:line="560" w:lineRule="exact"/>
        <w:ind w:firstLine="640"/>
        <w:outlineLvl w:val="1"/>
        <w:rPr>
          <w:rStyle w:val="25"/>
          <w:rFonts w:hint="eastAsia" w:ascii="黑体" w:hAnsi="黑体" w:eastAsia="黑体"/>
          <w:b w:val="0"/>
          <w:color w:val="auto"/>
          <w:highlight w:val="none"/>
        </w:rPr>
      </w:pPr>
      <w:bookmarkStart w:id="46" w:name="_Toc15377221"/>
      <w:bookmarkStart w:id="47" w:name="_Toc15396612"/>
      <w:r>
        <w:rPr>
          <w:rStyle w:val="25"/>
          <w:rFonts w:hint="eastAsia" w:ascii="黑体" w:hAnsi="黑体" w:eastAsia="黑体"/>
          <w:b w:val="0"/>
          <w:color w:val="auto"/>
          <w:highlight w:val="none"/>
        </w:rPr>
        <w:t>其他重要事项的情况说明</w:t>
      </w:r>
      <w:bookmarkEnd w:id="46"/>
      <w:bookmarkEnd w:id="47"/>
    </w:p>
    <w:p>
      <w:pPr>
        <w:pageBreakBefore w:val="0"/>
        <w:kinsoku/>
        <w:wordWrap/>
        <w:overflowPunct/>
        <w:bidi w:val="0"/>
        <w:spacing w:line="560" w:lineRule="exact"/>
        <w:ind w:firstLine="643" w:firstLineChars="200"/>
        <w:outlineLvl w:val="2"/>
        <w:rPr>
          <w:rFonts w:ascii="仿宋" w:hAnsi="仿宋" w:eastAsia="仿宋"/>
          <w:color w:val="auto"/>
          <w:sz w:val="32"/>
          <w:szCs w:val="32"/>
          <w:highlight w:val="none"/>
        </w:rPr>
      </w:pPr>
      <w:bookmarkStart w:id="48" w:name="_Toc15377222"/>
      <w:r>
        <w:rPr>
          <w:rFonts w:hint="eastAsia" w:ascii="仿宋" w:hAnsi="仿宋" w:eastAsia="仿宋"/>
          <w:b/>
          <w:color w:val="auto"/>
          <w:sz w:val="32"/>
          <w:szCs w:val="32"/>
          <w:highlight w:val="none"/>
        </w:rPr>
        <w:t>（一）机关运行经费支出情况</w:t>
      </w:r>
      <w:bookmarkEnd w:id="48"/>
    </w:p>
    <w:p>
      <w:pPr>
        <w:pageBreakBefore w:val="0"/>
        <w:kinsoku/>
        <w:wordWrap/>
        <w:overflowPunct/>
        <w:bidi w:val="0"/>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年，遂宁市妇女联合会机关运行经费支出42.68万元，比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年增加3.19万元，增长8.08</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。主要原因是本年基本支出有所增加。</w:t>
      </w:r>
    </w:p>
    <w:p>
      <w:pPr>
        <w:pageBreakBefore w:val="0"/>
        <w:kinsoku/>
        <w:wordWrap/>
        <w:overflowPunct/>
        <w:bidi w:val="0"/>
        <w:spacing w:line="56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pageBreakBefore w:val="0"/>
        <w:kinsoku/>
        <w:wordWrap/>
        <w:overflowPunct/>
        <w:autoSpaceDE w:val="0"/>
        <w:autoSpaceDN w:val="0"/>
        <w:bidi w:val="0"/>
        <w:adjustRightInd w:val="0"/>
        <w:spacing w:line="560" w:lineRule="exact"/>
        <w:ind w:firstLine="643" w:firstLineChars="200"/>
        <w:jc w:val="left"/>
        <w:outlineLvl w:val="2"/>
        <w:rPr>
          <w:rFonts w:ascii="仿宋" w:hAnsi="仿宋" w:eastAsia="仿宋"/>
          <w:b/>
          <w:color w:val="auto"/>
          <w:sz w:val="32"/>
          <w:szCs w:val="32"/>
          <w:highlight w:val="none"/>
        </w:rPr>
      </w:pPr>
      <w:bookmarkStart w:id="49" w:name="_Toc15377223"/>
      <w:r>
        <w:rPr>
          <w:rFonts w:hint="eastAsia" w:ascii="仿宋" w:hAnsi="仿宋" w:eastAsia="仿宋"/>
          <w:b/>
          <w:color w:val="auto"/>
          <w:sz w:val="32"/>
          <w:szCs w:val="32"/>
          <w:highlight w:val="none"/>
        </w:rPr>
        <w:t>（二）政府采购支出情况</w:t>
      </w:r>
      <w:bookmarkEnd w:id="49"/>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年，遂宁市妇女联合会政府采购支出总额124.97万元，其中：政府采购货物支出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万元、政府采购服务支出124.97万元。主要用于</w:t>
      </w:r>
      <w:r>
        <w:rPr>
          <w:rFonts w:hint="eastAsia" w:ascii="仿宋_GB2312" w:eastAsia="仿宋_GB2312"/>
          <w:color w:val="auto"/>
          <w:sz w:val="32"/>
          <w:szCs w:val="32"/>
          <w:highlight w:val="none"/>
          <w:lang w:eastAsia="zh-CN"/>
        </w:rPr>
        <w:t>家庭教育政府采购项目采购以及川渝妇女儿童项目大赛服务采购</w:t>
      </w:r>
      <w:r>
        <w:rPr>
          <w:rFonts w:hint="eastAsia" w:ascii="仿宋_GB2312" w:eastAsia="仿宋_GB2312"/>
          <w:color w:val="auto"/>
          <w:sz w:val="32"/>
          <w:szCs w:val="32"/>
          <w:highlight w:val="none"/>
        </w:rPr>
        <w:t>。授予中小企业合同金额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pageBreakBefore w:val="0"/>
        <w:kinsoku/>
        <w:wordWrap/>
        <w:overflowPunct/>
        <w:bidi w:val="0"/>
        <w:spacing w:line="56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pageBreakBefore w:val="0"/>
        <w:kinsoku/>
        <w:wordWrap/>
        <w:overflowPunct/>
        <w:autoSpaceDE w:val="0"/>
        <w:autoSpaceDN w:val="0"/>
        <w:bidi w:val="0"/>
        <w:adjustRightInd w:val="0"/>
        <w:spacing w:line="560" w:lineRule="exact"/>
        <w:ind w:firstLine="643" w:firstLineChars="200"/>
        <w:jc w:val="left"/>
        <w:outlineLvl w:val="2"/>
        <w:rPr>
          <w:rFonts w:ascii="仿宋" w:hAnsi="仿宋" w:eastAsia="仿宋"/>
          <w:b/>
          <w:color w:val="auto"/>
          <w:sz w:val="32"/>
          <w:szCs w:val="32"/>
          <w:highlight w:val="none"/>
        </w:rPr>
      </w:pPr>
      <w:bookmarkStart w:id="50" w:name="_Toc15377224"/>
      <w:r>
        <w:rPr>
          <w:rFonts w:hint="eastAsia" w:ascii="仿宋" w:hAnsi="仿宋" w:eastAsia="仿宋"/>
          <w:b/>
          <w:color w:val="auto"/>
          <w:sz w:val="32"/>
          <w:szCs w:val="32"/>
          <w:highlight w:val="none"/>
        </w:rPr>
        <w:t>（三）国有资产占有使用情况</w:t>
      </w:r>
      <w:bookmarkEnd w:id="50"/>
    </w:p>
    <w:p>
      <w:pPr>
        <w:pageBreakBefore w:val="0"/>
        <w:kinsoku/>
        <w:wordWrap/>
        <w:overflowPunct/>
        <w:autoSpaceDE w:val="0"/>
        <w:autoSpaceDN w:val="0"/>
        <w:bidi w:val="0"/>
        <w:adjustRightInd w:val="0"/>
        <w:spacing w:line="56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日，遂宁市妇女联合会共有车辆</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辆……其他用车主要是用于……单价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pageBreakBefore w:val="0"/>
        <w:kinsoku/>
        <w:wordWrap/>
        <w:overflowPunct/>
        <w:autoSpaceDE w:val="0"/>
        <w:autoSpaceDN w:val="0"/>
        <w:bidi w:val="0"/>
        <w:adjustRightInd w:val="0"/>
        <w:spacing w:line="560" w:lineRule="exact"/>
        <w:ind w:firstLine="643" w:firstLineChars="200"/>
        <w:jc w:val="left"/>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w:t>
      </w:r>
      <w:r>
        <w:rPr>
          <w:rFonts w:hint="eastAsia" w:ascii="仿宋" w:hAnsi="仿宋" w:eastAsia="仿宋"/>
          <w:b/>
          <w:color w:val="auto"/>
          <w:sz w:val="32"/>
          <w:szCs w:val="32"/>
          <w:highlight w:val="none"/>
          <w:lang w:eastAsia="zh-CN"/>
        </w:rPr>
        <w:t>于</w:t>
      </w:r>
      <w:r>
        <w:rPr>
          <w:rFonts w:hint="eastAsia" w:ascii="仿宋" w:hAnsi="仿宋" w:eastAsia="仿宋"/>
          <w:b/>
          <w:color w:val="auto"/>
          <w:sz w:val="32"/>
          <w:szCs w:val="32"/>
          <w:highlight w:val="none"/>
        </w:rPr>
        <w:t>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表，按</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决算报表填报数据罗列车辆情况。）</w:t>
      </w:r>
    </w:p>
    <w:p>
      <w:pPr>
        <w:pageBreakBefore w:val="0"/>
        <w:kinsoku/>
        <w:wordWrap/>
        <w:overflowPunct/>
        <w:autoSpaceDE w:val="0"/>
        <w:autoSpaceDN w:val="0"/>
        <w:bidi w:val="0"/>
        <w:adjustRightInd w:val="0"/>
        <w:spacing w:line="56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pPr>
        <w:pageBreakBefore w:val="0"/>
        <w:kinsoku/>
        <w:wordWrap/>
        <w:overflowPunct/>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根据预算绩效管理要求，本单位在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eastAsia="仿宋_GB2312" w:cs="仿宋_GB2312"/>
          <w:color w:val="auto"/>
          <w:sz w:val="32"/>
          <w:szCs w:val="32"/>
          <w:highlight w:val="none"/>
          <w:lang w:eastAsia="zh-CN"/>
        </w:rPr>
        <w:t>家庭教育</w:t>
      </w:r>
      <w:r>
        <w:rPr>
          <w:rFonts w:hint="eastAsia" w:ascii="仿宋_GB2312" w:hAnsi="仿宋_GB2312" w:eastAsia="仿宋_GB2312" w:cs="仿宋_GB2312"/>
          <w:color w:val="auto"/>
          <w:sz w:val="32"/>
          <w:szCs w:val="32"/>
          <w:highlight w:val="none"/>
        </w:rPr>
        <w:t>项目开展了预算事前绩效评估，对</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2021年特定目标类部门预算项目绩效目标自评表见附件（第四部分）</w:t>
      </w:r>
      <w:r>
        <w:rPr>
          <w:rFonts w:hint="eastAsia" w:ascii="仿宋_GB2312" w:hAnsi="仿宋_GB2312" w:eastAsia="仿宋_GB2312" w:cs="仿宋_GB2312"/>
          <w:color w:val="auto"/>
          <w:sz w:val="32"/>
          <w:szCs w:val="32"/>
          <w:highlight w:val="none"/>
        </w:rPr>
        <w:t>。</w:t>
      </w:r>
    </w:p>
    <w:p>
      <w:pPr>
        <w:pageBreakBefore w:val="0"/>
        <w:kinsoku/>
        <w:wordWrap/>
        <w:overflowPunct/>
        <w:autoSpaceDE w:val="0"/>
        <w:autoSpaceDN w:val="0"/>
        <w:bidi w:val="0"/>
        <w:adjustRightInd w:val="0"/>
        <w:spacing w:line="560" w:lineRule="exact"/>
        <w:ind w:firstLine="643" w:firstLineChars="200"/>
        <w:jc w:val="both"/>
        <w:rPr>
          <w:rFonts w:ascii="仿宋" w:hAnsi="仿宋" w:eastAsia="仿宋"/>
          <w:b/>
          <w:bCs w:val="0"/>
          <w:color w:val="auto"/>
          <w:sz w:val="32"/>
          <w:szCs w:val="32"/>
          <w:highlight w:val="none"/>
        </w:rPr>
      </w:pPr>
      <w:r>
        <w:rPr>
          <w:rFonts w:hint="eastAsia" w:ascii="仿宋" w:hAnsi="仿宋" w:eastAsia="仿宋"/>
          <w:b/>
          <w:bCs w:val="0"/>
          <w:color w:val="auto"/>
          <w:sz w:val="32"/>
          <w:szCs w:val="32"/>
          <w:highlight w:val="none"/>
        </w:rPr>
        <w:t>（注：</w:t>
      </w:r>
      <w:r>
        <w:rPr>
          <w:rFonts w:hint="eastAsia" w:ascii="仿宋" w:hAnsi="仿宋" w:eastAsia="仿宋"/>
          <w:b/>
          <w:bCs w:val="0"/>
          <w:color w:val="auto"/>
          <w:sz w:val="32"/>
          <w:szCs w:val="32"/>
          <w:highlight w:val="none"/>
          <w:lang w:eastAsia="zh-CN"/>
        </w:rPr>
        <w:t>单位</w:t>
      </w:r>
      <w:r>
        <w:rPr>
          <w:rFonts w:hint="eastAsia" w:ascii="仿宋_GB2312" w:hAnsi="仿宋_GB2312" w:eastAsia="仿宋_GB2312" w:cs="仿宋_GB2312"/>
          <w:b/>
          <w:bCs w:val="0"/>
          <w:color w:val="auto"/>
          <w:sz w:val="32"/>
          <w:szCs w:val="32"/>
          <w:highlight w:val="none"/>
          <w:lang w:val="en-US" w:eastAsia="zh-CN"/>
        </w:rPr>
        <w:t>2021年特定目标类部门预算项目绩效目标自评表为本部门2021年部门整体支出绩效评价报告中涉及本单位的附表</w:t>
      </w:r>
      <w:r>
        <w:rPr>
          <w:rFonts w:hint="eastAsia" w:ascii="仿宋" w:hAnsi="仿宋" w:eastAsia="仿宋"/>
          <w:b/>
          <w:bCs w:val="0"/>
          <w:color w:val="auto"/>
          <w:sz w:val="32"/>
          <w:szCs w:val="32"/>
          <w:highlight w:val="none"/>
        </w:rPr>
        <w:t>）</w:t>
      </w:r>
    </w:p>
    <w:p>
      <w:pPr>
        <w:pStyle w:val="2"/>
        <w:pageBreakBefore w:val="0"/>
        <w:kinsoku/>
        <w:wordWrap/>
        <w:overflowPunct/>
        <w:bidi w:val="0"/>
        <w:spacing w:line="560" w:lineRule="exact"/>
        <w:rPr>
          <w:highlight w:val="yellow"/>
        </w:rPr>
      </w:pPr>
    </w:p>
    <w:p>
      <w:pPr>
        <w:pageBreakBefore w:val="0"/>
        <w:widowControl/>
        <w:kinsoku/>
        <w:wordWrap/>
        <w:overflowPunct/>
        <w:bidi w:val="0"/>
        <w:spacing w:line="560" w:lineRule="exact"/>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pageBreakBefore w:val="0"/>
        <w:numPr>
          <w:ilvl w:val="0"/>
          <w:numId w:val="4"/>
        </w:numPr>
        <w:kinsoku/>
        <w:wordWrap/>
        <w:overflowPunct/>
        <w:bidi w:val="0"/>
        <w:spacing w:line="560" w:lineRule="exact"/>
        <w:ind w:firstLine="660" w:firstLineChars="150"/>
        <w:jc w:val="center"/>
        <w:outlineLvl w:val="0"/>
        <w:rPr>
          <w:rStyle w:val="24"/>
          <w:rFonts w:ascii="黑体" w:hAnsi="黑体" w:eastAsia="黑体"/>
          <w:b w:val="0"/>
          <w:color w:val="auto"/>
          <w:highlight w:val="none"/>
        </w:rPr>
      </w:pPr>
      <w:bookmarkStart w:id="51" w:name="_Toc15396613"/>
      <w:bookmarkStart w:id="52" w:name="_Toc15377225"/>
      <w:r>
        <w:rPr>
          <w:rFonts w:hint="eastAsia" w:ascii="黑体" w:hAnsi="黑体" w:eastAsia="黑体"/>
          <w:color w:val="auto"/>
          <w:sz w:val="44"/>
          <w:szCs w:val="44"/>
          <w:highlight w:val="none"/>
        </w:rPr>
        <w:t>名</w:t>
      </w:r>
      <w:r>
        <w:rPr>
          <w:rStyle w:val="24"/>
          <w:rFonts w:hint="eastAsia" w:ascii="黑体" w:hAnsi="黑体" w:eastAsia="黑体"/>
          <w:b w:val="0"/>
          <w:color w:val="auto"/>
          <w:highlight w:val="none"/>
        </w:rPr>
        <w:t>词解释</w:t>
      </w:r>
      <w:bookmarkEnd w:id="51"/>
      <w:bookmarkEnd w:id="52"/>
    </w:p>
    <w:p>
      <w:pPr>
        <w:pageBreakBefore w:val="0"/>
        <w:kinsoku/>
        <w:wordWrap/>
        <w:overflowPunct/>
        <w:bidi w:val="0"/>
        <w:spacing w:line="560" w:lineRule="exact"/>
        <w:jc w:val="left"/>
        <w:rPr>
          <w:rFonts w:ascii="宋体"/>
          <w:b/>
          <w:color w:val="auto"/>
          <w:sz w:val="44"/>
          <w:szCs w:val="44"/>
          <w:highlight w:val="none"/>
        </w:rPr>
      </w:pP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事业收入：指事业单位开展专业业务活动及辅助活动取得的收入。如…（二级预算单位事业收入情况）等。</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经营收入：指事业单位在专业业务活动及其辅助活动之外开展非独立核算经营活动取得的收入。如…（二级预算单位经营收入情况）等。</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其他收入：指单位取得的除上述收入以外的各项收入。主要是…（收入类型）等。</w:t>
      </w:r>
      <w:r>
        <w:rPr>
          <w:rFonts w:ascii="仿宋_GB2312" w:eastAsia="仿宋_GB2312"/>
          <w:color w:val="auto"/>
          <w:sz w:val="32"/>
          <w:szCs w:val="32"/>
          <w:highlight w:val="none"/>
        </w:rPr>
        <w:t xml:space="preserve"> </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rPr>
        <w:t>、年末结转和结余：指单位按有关规定结转到下年或以后年度继续使用的资金。</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9.</w:t>
      </w:r>
      <w:r>
        <w:rPr>
          <w:rFonts w:hint="eastAsia" w:ascii="仿宋_GB2312" w:eastAsia="仿宋_GB2312"/>
          <w:color w:val="auto"/>
          <w:sz w:val="32"/>
          <w:szCs w:val="32"/>
          <w:highlight w:val="none"/>
        </w:rPr>
        <w:t>一般公共服务（类）…（款）…（项）：指……。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10.</w:t>
      </w:r>
      <w:r>
        <w:rPr>
          <w:rFonts w:hint="eastAsia" w:ascii="仿宋_GB2312" w:eastAsia="仿宋_GB2312"/>
          <w:color w:val="auto"/>
          <w:sz w:val="32"/>
          <w:szCs w:val="32"/>
          <w:highlight w:val="none"/>
        </w:rPr>
        <w:t>外交（类）…（款）…（项）：指……。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11.</w:t>
      </w:r>
      <w:r>
        <w:rPr>
          <w:rFonts w:hint="eastAsia" w:ascii="仿宋_GB2312" w:eastAsia="仿宋_GB2312"/>
          <w:color w:val="auto"/>
          <w:sz w:val="32"/>
          <w:szCs w:val="32"/>
          <w:highlight w:val="none"/>
        </w:rPr>
        <w:t>公共安全（类）…（款）…（项）：指……。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12.</w:t>
      </w:r>
      <w:r>
        <w:rPr>
          <w:rFonts w:hint="eastAsia" w:ascii="仿宋_GB2312" w:eastAsia="仿宋_GB2312"/>
          <w:color w:val="auto"/>
          <w:sz w:val="32"/>
          <w:szCs w:val="32"/>
          <w:highlight w:val="none"/>
        </w:rPr>
        <w:t>教育（类）…（款）…（项）：指……。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13.</w:t>
      </w:r>
      <w:r>
        <w:rPr>
          <w:rFonts w:hint="eastAsia" w:ascii="仿宋_GB2312" w:eastAsia="仿宋_GB2312"/>
          <w:color w:val="auto"/>
          <w:sz w:val="32"/>
          <w:szCs w:val="32"/>
          <w:highlight w:val="none"/>
        </w:rPr>
        <w:t>科学技术（类）…（款）…（项）：指……。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14.</w:t>
      </w:r>
      <w:r>
        <w:rPr>
          <w:rFonts w:hint="eastAsia" w:ascii="仿宋_GB2312" w:eastAsia="仿宋_GB2312"/>
          <w:color w:val="auto"/>
          <w:sz w:val="32"/>
          <w:szCs w:val="32"/>
          <w:highlight w:val="none"/>
        </w:rPr>
        <w:t>文化体育与传媒（类）…（款）…（项）：指……。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15.</w:t>
      </w:r>
      <w:r>
        <w:rPr>
          <w:rFonts w:hint="eastAsia" w:ascii="仿宋_GB2312" w:eastAsia="仿宋_GB2312"/>
          <w:color w:val="auto"/>
          <w:sz w:val="32"/>
          <w:szCs w:val="32"/>
          <w:highlight w:val="none"/>
        </w:rPr>
        <w:t>社会保障和就业（类）…（款）…（项）：指……。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16.</w:t>
      </w:r>
      <w:r>
        <w:rPr>
          <w:rFonts w:hint="eastAsia" w:ascii="仿宋_GB2312" w:eastAsia="仿宋_GB2312"/>
          <w:color w:val="auto"/>
          <w:sz w:val="32"/>
          <w:szCs w:val="32"/>
          <w:highlight w:val="none"/>
        </w:rPr>
        <w:t>医疗卫生与计划生育（类）…（款）…（项）：指……。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17.</w:t>
      </w:r>
      <w:r>
        <w:rPr>
          <w:rFonts w:hint="eastAsia" w:ascii="仿宋_GB2312" w:eastAsia="仿宋_GB2312"/>
          <w:color w:val="auto"/>
          <w:sz w:val="32"/>
          <w:szCs w:val="32"/>
          <w:highlight w:val="none"/>
        </w:rPr>
        <w:t>节能环保（类）…（款）…（项）：指……。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18.</w:t>
      </w:r>
      <w:r>
        <w:rPr>
          <w:rFonts w:hint="eastAsia" w:ascii="仿宋_GB2312" w:eastAsia="仿宋_GB2312"/>
          <w:color w:val="auto"/>
          <w:sz w:val="32"/>
          <w:szCs w:val="32"/>
          <w:highlight w:val="none"/>
        </w:rPr>
        <w:t>城乡社区（类）…（款）…（项）：指……。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19.</w:t>
      </w:r>
      <w:r>
        <w:rPr>
          <w:rFonts w:hint="eastAsia" w:ascii="仿宋_GB2312" w:eastAsia="仿宋_GB2312"/>
          <w:color w:val="auto"/>
          <w:sz w:val="32"/>
          <w:szCs w:val="32"/>
          <w:highlight w:val="none"/>
        </w:rPr>
        <w:t>农林水（类）…（款）…（项）：指……。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rPr>
        <w:t>交通运输（类）…（款）…（项）：指……。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21.</w:t>
      </w:r>
      <w:r>
        <w:rPr>
          <w:rFonts w:hint="eastAsia" w:ascii="仿宋_GB2312" w:eastAsia="仿宋_GB2312"/>
          <w:color w:val="auto"/>
          <w:sz w:val="32"/>
          <w:szCs w:val="32"/>
          <w:highlight w:val="none"/>
        </w:rPr>
        <w:t>资源勘探信息等（类）…（款）…（项）：指……。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22.</w:t>
      </w:r>
      <w:r>
        <w:rPr>
          <w:rFonts w:hint="eastAsia" w:ascii="仿宋_GB2312" w:eastAsia="仿宋_GB2312"/>
          <w:color w:val="auto"/>
          <w:sz w:val="32"/>
          <w:szCs w:val="32"/>
          <w:highlight w:val="none"/>
        </w:rPr>
        <w:t>商业服务业（类）…（款）…（项）：指……。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23.</w:t>
      </w:r>
      <w:r>
        <w:rPr>
          <w:rFonts w:hint="eastAsia" w:ascii="仿宋_GB2312" w:eastAsia="仿宋_GB2312"/>
          <w:color w:val="auto"/>
          <w:sz w:val="32"/>
          <w:szCs w:val="32"/>
          <w:highlight w:val="none"/>
        </w:rPr>
        <w:t>金融（类）…（款）…（项）：指……。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24.</w:t>
      </w:r>
      <w:r>
        <w:rPr>
          <w:rFonts w:hint="eastAsia" w:ascii="仿宋_GB2312" w:eastAsia="仿宋_GB2312"/>
          <w:color w:val="auto"/>
          <w:sz w:val="32"/>
          <w:szCs w:val="32"/>
          <w:highlight w:val="none"/>
        </w:rPr>
        <w:t>国土海洋气象等（类）…（款）…（项）：指……。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25.</w:t>
      </w:r>
      <w:r>
        <w:rPr>
          <w:rFonts w:hint="eastAsia" w:ascii="仿宋_GB2312" w:eastAsia="仿宋_GB2312"/>
          <w:color w:val="auto"/>
          <w:sz w:val="32"/>
          <w:szCs w:val="32"/>
          <w:highlight w:val="none"/>
        </w:rPr>
        <w:t>住房保障（类）…（款）…（项）：指……。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26.</w:t>
      </w:r>
      <w:r>
        <w:rPr>
          <w:rFonts w:hint="eastAsia" w:ascii="仿宋_GB2312" w:eastAsia="仿宋_GB2312"/>
          <w:color w:val="auto"/>
          <w:sz w:val="32"/>
          <w:szCs w:val="32"/>
          <w:highlight w:val="none"/>
        </w:rPr>
        <w:t>粮油物资储备（类）…（款）…（项）：指……。</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w:t>
      </w:r>
    </w:p>
    <w:p>
      <w:pPr>
        <w:pageBreakBefore w:val="0"/>
        <w:kinsoku/>
        <w:wordWrap/>
        <w:overflowPunct/>
        <w:bidi w:val="0"/>
        <w:spacing w:line="56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（解释本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决算报表中</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全部功能分类科目至项级，</w:t>
      </w:r>
      <w:r>
        <w:rPr>
          <w:rFonts w:hint="eastAsia" w:ascii="仿宋" w:hAnsi="仿宋" w:eastAsia="仿宋"/>
          <w:b/>
          <w:color w:val="auto"/>
          <w:sz w:val="32"/>
          <w:szCs w:val="32"/>
          <w:highlight w:val="none"/>
          <w:lang w:eastAsia="zh-CN"/>
        </w:rPr>
        <w:t>不涉及的科目请自行删除。</w:t>
      </w:r>
      <w:r>
        <w:rPr>
          <w:rFonts w:hint="eastAsia" w:ascii="仿宋" w:hAnsi="仿宋" w:eastAsia="仿宋"/>
          <w:b/>
          <w:color w:val="auto"/>
          <w:sz w:val="32"/>
          <w:szCs w:val="32"/>
          <w:highlight w:val="none"/>
        </w:rPr>
        <w:t>请参照《</w:t>
      </w:r>
      <w:r>
        <w:rPr>
          <w:rFonts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年政府收支分类科目》增减内容。）</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27.</w:t>
      </w:r>
      <w:r>
        <w:rPr>
          <w:rFonts w:hint="eastAsia" w:ascii="仿宋_GB2312" w:eastAsia="仿宋_GB2312"/>
          <w:color w:val="auto"/>
          <w:sz w:val="32"/>
          <w:szCs w:val="32"/>
          <w:highlight w:val="none"/>
        </w:rPr>
        <w:t>基本支出：指为保障机构正常运转、完成日常工作任务而发生的人员支出和公用支出。</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28.</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29.</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30.</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31.</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pageBreakBefore w:val="0"/>
        <w:kinsoku/>
        <w:wordWrap/>
        <w:overflowPunct/>
        <w:bidi w:val="0"/>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32.</w:t>
      </w:r>
      <w:r>
        <w:rPr>
          <w:rFonts w:hint="eastAsia" w:ascii="仿宋_GB2312" w:eastAsia="仿宋_GB2312"/>
          <w:color w:val="auto"/>
          <w:sz w:val="32"/>
          <w:szCs w:val="32"/>
          <w:highlight w:val="none"/>
        </w:rPr>
        <w:t>……。</w:t>
      </w:r>
    </w:p>
    <w:p>
      <w:pPr>
        <w:pStyle w:val="22"/>
        <w:pageBreakBefore w:val="0"/>
        <w:kinsoku/>
        <w:wordWrap/>
        <w:overflowPunct/>
        <w:bidi w:val="0"/>
        <w:spacing w:line="560" w:lineRule="exact"/>
        <w:ind w:firstLine="640" w:firstLineChars="200"/>
        <w:rPr>
          <w:rFonts w:ascii="仿宋_GB2312" w:eastAsia="仿宋_GB2312" w:cs="黑体"/>
          <w:color w:val="auto"/>
          <w:sz w:val="32"/>
          <w:szCs w:val="32"/>
          <w:highlight w:val="none"/>
        </w:rPr>
      </w:pPr>
    </w:p>
    <w:p>
      <w:pPr>
        <w:pageBreakBefore w:val="0"/>
        <w:kinsoku/>
        <w:wordWrap/>
        <w:overflowPunct/>
        <w:bidi w:val="0"/>
        <w:spacing w:line="56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（名词解释部分请根据各</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实际列支情况罗列，并根据本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职责职能增减名词解释内容。）</w:t>
      </w:r>
    </w:p>
    <w:p>
      <w:pPr>
        <w:pageBreakBefore w:val="0"/>
        <w:kinsoku/>
        <w:wordWrap/>
        <w:overflowPunct/>
        <w:bidi w:val="0"/>
        <w:spacing w:line="560" w:lineRule="exact"/>
        <w:jc w:val="center"/>
        <w:outlineLvl w:val="0"/>
        <w:rPr>
          <w:rStyle w:val="24"/>
          <w:rFonts w:ascii="黑体" w:hAnsi="黑体" w:eastAsia="黑体"/>
          <w:b w:val="0"/>
          <w:color w:val="auto"/>
          <w:highlight w:val="none"/>
        </w:rPr>
      </w:pPr>
      <w:bookmarkStart w:id="53" w:name="_Toc15377226"/>
      <w:r>
        <w:rPr>
          <w:rFonts w:ascii="宋体"/>
          <w:b/>
          <w:color w:val="auto"/>
          <w:sz w:val="44"/>
          <w:szCs w:val="44"/>
          <w:highlight w:val="none"/>
        </w:rPr>
        <w:br w:type="page"/>
      </w:r>
      <w:bookmarkStart w:id="54" w:name="_Toc15396614"/>
      <w:r>
        <w:rPr>
          <w:rFonts w:hint="eastAsia" w:ascii="黑体" w:hAnsi="黑体" w:eastAsia="黑体"/>
          <w:color w:val="auto"/>
          <w:sz w:val="44"/>
          <w:szCs w:val="44"/>
          <w:highlight w:val="none"/>
        </w:rPr>
        <w:t>第</w:t>
      </w:r>
      <w:r>
        <w:rPr>
          <w:rStyle w:val="24"/>
          <w:rFonts w:hint="eastAsia" w:ascii="黑体" w:hAnsi="黑体" w:eastAsia="黑体"/>
          <w:b w:val="0"/>
          <w:color w:val="auto"/>
          <w:highlight w:val="none"/>
        </w:rPr>
        <w:t>四部分 附件</w:t>
      </w:r>
      <w:bookmarkEnd w:id="54"/>
    </w:p>
    <w:p>
      <w:pPr>
        <w:keepNext w:val="0"/>
        <w:keepLines w:val="0"/>
        <w:pageBreakBefore w:val="0"/>
        <w:kinsoku/>
        <w:wordWrap/>
        <w:overflowPunct/>
        <w:topLinePunct w:val="0"/>
        <w:autoSpaceDE/>
        <w:autoSpaceDN/>
        <w:bidi w:val="0"/>
        <w:spacing w:line="560" w:lineRule="exact"/>
        <w:jc w:val="left"/>
        <w:textAlignment w:val="auto"/>
        <w:outlineLvl w:val="0"/>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附件</w:t>
      </w:r>
    </w:p>
    <w:tbl>
      <w:tblPr>
        <w:tblStyle w:val="12"/>
        <w:tblpPr w:leftFromText="180" w:rightFromText="180" w:vertAnchor="text" w:horzAnchor="page" w:tblpX="1281" w:tblpY="660"/>
        <w:tblOverlap w:val="never"/>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77"/>
        <w:gridCol w:w="1142"/>
        <w:gridCol w:w="1635"/>
        <w:gridCol w:w="1189"/>
        <w:gridCol w:w="1224"/>
        <w:gridCol w:w="2410"/>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bidi w:val="0"/>
              <w:spacing w:beforeAutospacing="0" w:line="560" w:lineRule="exact"/>
              <w:jc w:val="both"/>
              <w:textAlignment w:val="center"/>
              <w:rPr>
                <w:rFonts w:hint="eastAsia" w:ascii="宋体" w:hAnsi="宋体" w:eastAsia="宋体" w:cs="宋体"/>
                <w:b/>
                <w:i w:val="0"/>
                <w:color w:val="auto"/>
                <w:sz w:val="32"/>
                <w:szCs w:val="32"/>
                <w:u w:val="none"/>
              </w:rPr>
            </w:pPr>
            <w:bookmarkStart w:id="55" w:name="_Toc15396618"/>
            <w:r>
              <w:rPr>
                <w:rFonts w:hint="eastAsia" w:ascii="宋体" w:hAnsi="宋体" w:eastAsia="宋体" w:cs="宋体"/>
                <w:b/>
                <w:i w:val="0"/>
                <w:color w:val="auto"/>
                <w:sz w:val="32"/>
                <w:szCs w:val="32"/>
                <w:u w:val="none"/>
                <w:lang w:val="en-US" w:eastAsia="zh-CN"/>
              </w:rPr>
              <w:t>2021年100万元以上（含）特定目标类部门预算项目绩效目标自评</w:t>
            </w:r>
          </w:p>
        </w:tc>
        <w:tc>
          <w:tcPr>
            <w:tcW w:w="234"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bidi w:val="0"/>
              <w:spacing w:line="560" w:lineRule="exact"/>
              <w:jc w:val="center"/>
              <w:textAlignment w:val="center"/>
              <w:rPr>
                <w:rFonts w:hint="eastAsia" w:ascii="宋体" w:hAnsi="宋体" w:eastAsia="宋体" w:cs="宋体"/>
                <w:b/>
                <w:i w:val="0"/>
                <w:color w:val="auto"/>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宋体" w:hAnsi="宋体" w:eastAsia="宋体" w:cs="宋体"/>
                <w:i w:val="0"/>
                <w:color w:val="auto"/>
                <w:sz w:val="24"/>
                <w:szCs w:val="24"/>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4"/>
                <w:szCs w:val="24"/>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4"/>
                <w:szCs w:val="24"/>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4"/>
                <w:szCs w:val="24"/>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color w:val="auto"/>
                <w:sz w:val="24"/>
                <w:szCs w:val="24"/>
                <w:u w:val="none"/>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color w:val="auto"/>
                <w:sz w:val="24"/>
                <w:szCs w:val="24"/>
                <w:u w:val="none"/>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top"/>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效益</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77"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ind w:left="463" w:leftChars="87" w:hanging="280" w:hangingChars="100"/>
              <w:jc w:val="left"/>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30" w:hRule="atLeast"/>
        </w:trPr>
        <w:tc>
          <w:tcPr>
            <w:tcW w:w="197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auto"/>
                <w:sz w:val="28"/>
                <w:szCs w:val="28"/>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满意</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color w:val="auto"/>
                <w:sz w:val="28"/>
                <w:szCs w:val="28"/>
                <w:u w:val="none"/>
              </w:rPr>
            </w:pPr>
          </w:p>
        </w:tc>
      </w:tr>
    </w:tbl>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widowControl/>
        <w:kinsoku/>
        <w:wordWrap/>
        <w:overflowPunct/>
        <w:bidi w:val="0"/>
        <w:adjustRightInd w:val="0"/>
        <w:snapToGrid w:val="0"/>
        <w:spacing w:line="560" w:lineRule="exact"/>
        <w:contextualSpacing/>
        <w:jc w:val="left"/>
      </w:pPr>
      <w:r>
        <w:rPr>
          <w:rFonts w:hint="eastAsia" w:ascii="仿宋_GB2312" w:hAnsi="宋体" w:eastAsia="仿宋_GB2312" w:cs="宋体"/>
          <w:color w:val="000000"/>
          <w:kern w:val="0"/>
          <w:sz w:val="32"/>
          <w:szCs w:val="32"/>
          <w:shd w:val="clear" w:color="auto" w:fill="FFFFFF"/>
          <w:lang w:val="en-US" w:eastAsia="zh-CN"/>
        </w:rPr>
        <w:t>（注：有两个及以上100万元以上（含）特定目标类部门预算项目的，需分别开展绩效目标自评并填写附表）</w:t>
      </w: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黑体" w:hAnsi="黑体" w:eastAsia="黑体"/>
          <w:color w:val="auto"/>
          <w:sz w:val="44"/>
          <w:szCs w:val="44"/>
          <w:highlight w:val="none"/>
        </w:rPr>
      </w:pPr>
    </w:p>
    <w:p>
      <w:pPr>
        <w:pageBreakBefore w:val="0"/>
        <w:kinsoku/>
        <w:wordWrap/>
        <w:overflowPunct/>
        <w:bidi w:val="0"/>
        <w:spacing w:line="560" w:lineRule="exact"/>
        <w:jc w:val="center"/>
        <w:outlineLvl w:val="0"/>
        <w:rPr>
          <w:rFonts w:hint="eastAsia" w:ascii="仿宋" w:hAnsi="仿宋" w:eastAsia="仿宋"/>
          <w:b w:val="0"/>
          <w:color w:val="auto"/>
          <w:highlight w:val="none"/>
        </w:rPr>
      </w:pPr>
      <w:bookmarkStart w:id="69" w:name="_GoBack"/>
      <w:bookmarkEnd w:id="69"/>
      <w:r>
        <w:rPr>
          <w:rFonts w:hint="eastAsia" w:ascii="黑体" w:hAnsi="黑体" w:eastAsia="黑体"/>
          <w:color w:val="auto"/>
          <w:sz w:val="44"/>
          <w:szCs w:val="44"/>
          <w:highlight w:val="none"/>
        </w:rPr>
        <w:t>第</w:t>
      </w:r>
      <w:r>
        <w:rPr>
          <w:rStyle w:val="24"/>
          <w:rFonts w:hint="eastAsia" w:ascii="黑体" w:hAnsi="黑体" w:eastAsia="黑体"/>
          <w:b w:val="0"/>
          <w:color w:val="auto"/>
          <w:highlight w:val="none"/>
        </w:rPr>
        <w:t>五部分 附表</w:t>
      </w:r>
      <w:bookmarkEnd w:id="53"/>
      <w:bookmarkEnd w:id="55"/>
      <w:bookmarkStart w:id="56" w:name="_Toc15396619"/>
    </w:p>
    <w:p>
      <w:pPr>
        <w:pStyle w:val="4"/>
        <w:pageBreakBefore w:val="0"/>
        <w:kinsoku/>
        <w:wordWrap/>
        <w:overflowPunct/>
        <w:bidi w:val="0"/>
        <w:spacing w:line="560" w:lineRule="exact"/>
        <w:rPr>
          <w:rFonts w:ascii="仿宋" w:hAnsi="仿宋" w:eastAsia="仿宋"/>
          <w:color w:val="auto"/>
          <w:highlight w:val="none"/>
        </w:rPr>
      </w:pPr>
      <w:r>
        <w:rPr>
          <w:rFonts w:hint="eastAsia" w:ascii="仿宋" w:hAnsi="仿宋" w:eastAsia="仿宋"/>
          <w:b w:val="0"/>
          <w:color w:val="auto"/>
          <w:highlight w:val="none"/>
        </w:rPr>
        <w:t>一、收</w:t>
      </w:r>
      <w:r>
        <w:rPr>
          <w:rStyle w:val="25"/>
          <w:rFonts w:hint="eastAsia" w:ascii="仿宋" w:hAnsi="仿宋" w:eastAsia="仿宋"/>
          <w:b w:val="0"/>
          <w:bCs w:val="0"/>
          <w:color w:val="auto"/>
          <w:highlight w:val="none"/>
        </w:rPr>
        <w:t>入支出决算总表</w:t>
      </w:r>
      <w:bookmarkEnd w:id="56"/>
    </w:p>
    <w:p>
      <w:pPr>
        <w:pStyle w:val="4"/>
        <w:pageBreakBefore w:val="0"/>
        <w:kinsoku/>
        <w:wordWrap/>
        <w:overflowPunct/>
        <w:bidi w:val="0"/>
        <w:spacing w:line="560" w:lineRule="exact"/>
        <w:rPr>
          <w:rFonts w:ascii="仿宋" w:hAnsi="仿宋" w:eastAsia="仿宋"/>
          <w:color w:val="auto"/>
          <w:highlight w:val="none"/>
        </w:rPr>
      </w:pPr>
      <w:bookmarkStart w:id="57" w:name="_Toc15396620"/>
      <w:r>
        <w:rPr>
          <w:rFonts w:hint="eastAsia" w:ascii="仿宋" w:hAnsi="仿宋" w:eastAsia="仿宋"/>
          <w:b w:val="0"/>
          <w:color w:val="auto"/>
          <w:highlight w:val="none"/>
        </w:rPr>
        <w:t>二、收</w:t>
      </w:r>
      <w:r>
        <w:rPr>
          <w:rStyle w:val="25"/>
          <w:rFonts w:hint="eastAsia" w:ascii="仿宋" w:hAnsi="仿宋" w:eastAsia="仿宋"/>
          <w:b w:val="0"/>
          <w:bCs w:val="0"/>
          <w:color w:val="auto"/>
          <w:highlight w:val="none"/>
        </w:rPr>
        <w:t>入决算表</w:t>
      </w:r>
      <w:bookmarkEnd w:id="57"/>
    </w:p>
    <w:p>
      <w:pPr>
        <w:pStyle w:val="4"/>
        <w:pageBreakBefore w:val="0"/>
        <w:kinsoku/>
        <w:wordWrap/>
        <w:overflowPunct/>
        <w:bidi w:val="0"/>
        <w:spacing w:line="560" w:lineRule="exact"/>
        <w:rPr>
          <w:rFonts w:ascii="仿宋" w:hAnsi="仿宋" w:eastAsia="仿宋"/>
          <w:color w:val="auto"/>
          <w:highlight w:val="none"/>
        </w:rPr>
      </w:pPr>
      <w:bookmarkStart w:id="58" w:name="_Toc15396621"/>
      <w:r>
        <w:rPr>
          <w:rStyle w:val="25"/>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5"/>
          <w:rFonts w:hint="eastAsia" w:ascii="仿宋" w:hAnsi="仿宋" w:eastAsia="仿宋"/>
          <w:b w:val="0"/>
          <w:bCs w:val="0"/>
          <w:color w:val="auto"/>
          <w:highlight w:val="none"/>
        </w:rPr>
        <w:t>出决算表</w:t>
      </w:r>
      <w:bookmarkEnd w:id="58"/>
    </w:p>
    <w:p>
      <w:pPr>
        <w:pStyle w:val="4"/>
        <w:pageBreakBefore w:val="0"/>
        <w:kinsoku/>
        <w:wordWrap/>
        <w:overflowPunct/>
        <w:bidi w:val="0"/>
        <w:spacing w:line="560" w:lineRule="exact"/>
        <w:rPr>
          <w:rFonts w:ascii="仿宋" w:hAnsi="仿宋" w:eastAsia="仿宋"/>
          <w:b w:val="0"/>
          <w:color w:val="auto"/>
          <w:highlight w:val="none"/>
        </w:rPr>
      </w:pPr>
      <w:bookmarkStart w:id="59" w:name="_Toc15396622"/>
      <w:r>
        <w:rPr>
          <w:rStyle w:val="25"/>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政拨款收入支出决算总表</w:t>
      </w:r>
      <w:bookmarkEnd w:id="59"/>
    </w:p>
    <w:p>
      <w:pPr>
        <w:pStyle w:val="4"/>
        <w:pageBreakBefore w:val="0"/>
        <w:kinsoku/>
        <w:wordWrap/>
        <w:overflowPunct/>
        <w:bidi w:val="0"/>
        <w:spacing w:line="560" w:lineRule="exact"/>
        <w:rPr>
          <w:rStyle w:val="25"/>
          <w:rFonts w:ascii="仿宋" w:hAnsi="仿宋" w:eastAsia="仿宋"/>
          <w:b w:val="0"/>
          <w:bCs w:val="0"/>
          <w:color w:val="auto"/>
          <w:highlight w:val="none"/>
        </w:rPr>
      </w:pPr>
      <w:bookmarkStart w:id="60" w:name="_Toc15396623"/>
      <w:r>
        <w:rPr>
          <w:rStyle w:val="25"/>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政拨款支出决算明细表</w:t>
      </w:r>
      <w:bookmarkEnd w:id="60"/>
      <w:bookmarkStart w:id="61" w:name="_Toc15396624"/>
    </w:p>
    <w:p>
      <w:pPr>
        <w:pStyle w:val="4"/>
        <w:pageBreakBefore w:val="0"/>
        <w:kinsoku/>
        <w:wordWrap/>
        <w:overflowPunct/>
        <w:bidi w:val="0"/>
        <w:spacing w:line="560" w:lineRule="exact"/>
        <w:rPr>
          <w:rFonts w:ascii="仿宋" w:hAnsi="仿宋" w:eastAsia="仿宋"/>
          <w:color w:val="auto"/>
          <w:highlight w:val="none"/>
        </w:rPr>
      </w:pPr>
      <w:r>
        <w:rPr>
          <w:rStyle w:val="25"/>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般公共预算财政拨款支出决算表</w:t>
      </w:r>
      <w:bookmarkEnd w:id="61"/>
    </w:p>
    <w:p>
      <w:pPr>
        <w:pStyle w:val="4"/>
        <w:pageBreakBefore w:val="0"/>
        <w:kinsoku/>
        <w:wordWrap/>
        <w:overflowPunct/>
        <w:bidi w:val="0"/>
        <w:spacing w:line="560" w:lineRule="exact"/>
        <w:rPr>
          <w:rFonts w:ascii="仿宋" w:hAnsi="仿宋" w:eastAsia="仿宋"/>
          <w:color w:val="auto"/>
          <w:highlight w:val="none"/>
        </w:rPr>
      </w:pPr>
      <w:bookmarkStart w:id="62" w:name="_Toc15396625"/>
      <w:r>
        <w:rPr>
          <w:rStyle w:val="25"/>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般公共预算财政拨款支出决算明细表</w:t>
      </w:r>
      <w:bookmarkEnd w:id="62"/>
    </w:p>
    <w:p>
      <w:pPr>
        <w:pStyle w:val="4"/>
        <w:pageBreakBefore w:val="0"/>
        <w:kinsoku/>
        <w:wordWrap/>
        <w:overflowPunct/>
        <w:bidi w:val="0"/>
        <w:spacing w:line="560" w:lineRule="exact"/>
        <w:rPr>
          <w:rFonts w:ascii="仿宋" w:hAnsi="仿宋" w:eastAsia="仿宋"/>
          <w:color w:val="auto"/>
          <w:highlight w:val="none"/>
        </w:rPr>
      </w:pPr>
      <w:bookmarkStart w:id="63" w:name="_Toc15396626"/>
      <w:r>
        <w:rPr>
          <w:rStyle w:val="25"/>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般公共预算财政拨款基本支出决算表</w:t>
      </w:r>
      <w:bookmarkEnd w:id="63"/>
    </w:p>
    <w:p>
      <w:pPr>
        <w:pStyle w:val="4"/>
        <w:pageBreakBefore w:val="0"/>
        <w:kinsoku/>
        <w:wordWrap/>
        <w:overflowPunct/>
        <w:bidi w:val="0"/>
        <w:spacing w:line="560" w:lineRule="exact"/>
        <w:rPr>
          <w:rFonts w:ascii="仿宋" w:hAnsi="仿宋" w:eastAsia="仿宋"/>
          <w:color w:val="auto"/>
          <w:highlight w:val="none"/>
        </w:rPr>
      </w:pPr>
      <w:bookmarkStart w:id="64" w:name="_Toc15396627"/>
      <w:r>
        <w:rPr>
          <w:rStyle w:val="25"/>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般公共预算财政拨款项目支出决算表</w:t>
      </w:r>
      <w:bookmarkEnd w:id="64"/>
    </w:p>
    <w:p>
      <w:pPr>
        <w:pStyle w:val="4"/>
        <w:pageBreakBefore w:val="0"/>
        <w:kinsoku/>
        <w:wordWrap/>
        <w:overflowPunct/>
        <w:bidi w:val="0"/>
        <w:spacing w:line="560" w:lineRule="exact"/>
        <w:rPr>
          <w:rFonts w:ascii="仿宋" w:hAnsi="仿宋" w:eastAsia="仿宋"/>
          <w:color w:val="auto"/>
          <w:highlight w:val="none"/>
        </w:rPr>
      </w:pPr>
      <w:bookmarkStart w:id="65" w:name="_Toc15396628"/>
      <w:r>
        <w:rPr>
          <w:rStyle w:val="25"/>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般公共预算财政拨款“三公”经费支出决算表</w:t>
      </w:r>
      <w:bookmarkEnd w:id="65"/>
    </w:p>
    <w:p>
      <w:pPr>
        <w:pStyle w:val="4"/>
        <w:pageBreakBefore w:val="0"/>
        <w:kinsoku/>
        <w:wordWrap/>
        <w:overflowPunct/>
        <w:bidi w:val="0"/>
        <w:spacing w:line="560" w:lineRule="exact"/>
        <w:rPr>
          <w:rFonts w:ascii="仿宋" w:hAnsi="仿宋" w:eastAsia="仿宋"/>
          <w:color w:val="auto"/>
          <w:highlight w:val="none"/>
        </w:rPr>
      </w:pPr>
      <w:bookmarkStart w:id="66" w:name="_Toc15396629"/>
      <w:r>
        <w:rPr>
          <w:rStyle w:val="25"/>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5"/>
          <w:rFonts w:hint="eastAsia" w:ascii="仿宋" w:hAnsi="仿宋" w:eastAsia="仿宋"/>
          <w:b w:val="0"/>
          <w:bCs w:val="0"/>
          <w:color w:val="auto"/>
          <w:highlight w:val="none"/>
        </w:rPr>
        <w:t>府性基金预算财政拨款收入支出决算表</w:t>
      </w:r>
      <w:bookmarkEnd w:id="66"/>
    </w:p>
    <w:p>
      <w:pPr>
        <w:pStyle w:val="4"/>
        <w:pageBreakBefore w:val="0"/>
        <w:kinsoku/>
        <w:wordWrap/>
        <w:overflowPunct/>
        <w:bidi w:val="0"/>
        <w:spacing w:line="560" w:lineRule="exact"/>
        <w:rPr>
          <w:rFonts w:ascii="仿宋" w:hAnsi="仿宋" w:eastAsia="仿宋"/>
          <w:color w:val="auto"/>
          <w:highlight w:val="none"/>
        </w:rPr>
      </w:pPr>
      <w:bookmarkStart w:id="67" w:name="_Toc15396630"/>
      <w:r>
        <w:rPr>
          <w:rStyle w:val="25"/>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5"/>
          <w:rFonts w:hint="eastAsia" w:ascii="仿宋" w:hAnsi="仿宋" w:eastAsia="仿宋"/>
          <w:b w:val="0"/>
          <w:bCs w:val="0"/>
          <w:color w:val="auto"/>
          <w:highlight w:val="none"/>
        </w:rPr>
        <w:t>府性基金预算财政拨款“三公”经费支出决算表</w:t>
      </w:r>
      <w:bookmarkEnd w:id="67"/>
    </w:p>
    <w:p>
      <w:pPr>
        <w:pStyle w:val="4"/>
        <w:pageBreakBefore w:val="0"/>
        <w:kinsoku/>
        <w:wordWrap/>
        <w:overflowPunct/>
        <w:bidi w:val="0"/>
        <w:spacing w:line="560" w:lineRule="exact"/>
        <w:rPr>
          <w:rStyle w:val="25"/>
          <w:rFonts w:hint="eastAsia" w:ascii="仿宋" w:hAnsi="仿宋" w:eastAsia="仿宋"/>
          <w:b w:val="0"/>
          <w:bCs w:val="0"/>
          <w:color w:val="auto"/>
          <w:highlight w:val="none"/>
        </w:rPr>
      </w:pPr>
      <w:bookmarkStart w:id="68" w:name="_Toc15396631"/>
      <w:r>
        <w:rPr>
          <w:rStyle w:val="25"/>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5"/>
          <w:rFonts w:hint="eastAsia" w:ascii="仿宋" w:hAnsi="仿宋" w:eastAsia="仿宋"/>
          <w:b w:val="0"/>
          <w:bCs w:val="0"/>
          <w:color w:val="auto"/>
          <w:highlight w:val="none"/>
        </w:rPr>
        <w:t>有资本经营预算</w:t>
      </w:r>
      <w:r>
        <w:rPr>
          <w:rStyle w:val="25"/>
          <w:rFonts w:hint="eastAsia" w:ascii="仿宋" w:hAnsi="仿宋" w:eastAsia="仿宋"/>
          <w:b w:val="0"/>
          <w:bCs w:val="0"/>
          <w:color w:val="auto"/>
          <w:highlight w:val="none"/>
          <w:lang w:eastAsia="zh-CN"/>
        </w:rPr>
        <w:t>财政拨款收入</w:t>
      </w:r>
      <w:r>
        <w:rPr>
          <w:rStyle w:val="25"/>
          <w:rFonts w:hint="eastAsia" w:ascii="仿宋" w:hAnsi="仿宋" w:eastAsia="仿宋"/>
          <w:b w:val="0"/>
          <w:bCs w:val="0"/>
          <w:color w:val="auto"/>
          <w:highlight w:val="none"/>
        </w:rPr>
        <w:t>支出决算表</w:t>
      </w:r>
      <w:bookmarkEnd w:id="68"/>
    </w:p>
    <w:p>
      <w:pPr>
        <w:pageBreakBefore w:val="0"/>
        <w:kinsoku/>
        <w:wordWrap/>
        <w:overflowPunct/>
        <w:bidi w:val="0"/>
        <w:spacing w:line="560" w:lineRule="exact"/>
        <w:rPr>
          <w:rFonts w:hint="eastAsia" w:eastAsia="仿宋"/>
          <w:color w:val="auto"/>
          <w:highlight w:val="none"/>
          <w:lang w:eastAsia="zh-CN"/>
        </w:rPr>
      </w:pPr>
      <w:r>
        <w:rPr>
          <w:rStyle w:val="25"/>
          <w:rFonts w:hint="eastAsia" w:ascii="仿宋" w:hAnsi="仿宋" w:eastAsia="仿宋"/>
          <w:b w:val="0"/>
          <w:bCs w:val="0"/>
          <w:color w:val="auto"/>
          <w:highlight w:val="none"/>
          <w:lang w:eastAsia="zh-CN"/>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5200657"/>
    <w:multiLevelType w:val="singleLevel"/>
    <w:tmpl w:val="25200657"/>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xZjE5YTY2YjZlYjc1YzU0Mzc0M2U1NjM2NGE5MT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437C9C"/>
    <w:rsid w:val="025D38B0"/>
    <w:rsid w:val="063E7437"/>
    <w:rsid w:val="0A2032A3"/>
    <w:rsid w:val="0B8A37D8"/>
    <w:rsid w:val="0D907060"/>
    <w:rsid w:val="0FB6788B"/>
    <w:rsid w:val="10053E83"/>
    <w:rsid w:val="10C055FF"/>
    <w:rsid w:val="118107EC"/>
    <w:rsid w:val="11DD6519"/>
    <w:rsid w:val="141F1EA3"/>
    <w:rsid w:val="146A5814"/>
    <w:rsid w:val="14D07641"/>
    <w:rsid w:val="16BB723D"/>
    <w:rsid w:val="18015F3F"/>
    <w:rsid w:val="180513B0"/>
    <w:rsid w:val="1BE8440E"/>
    <w:rsid w:val="1D155CEE"/>
    <w:rsid w:val="1F3E1D77"/>
    <w:rsid w:val="1FE82A2F"/>
    <w:rsid w:val="20735A50"/>
    <w:rsid w:val="20F57F95"/>
    <w:rsid w:val="21C8663A"/>
    <w:rsid w:val="21D75BED"/>
    <w:rsid w:val="226715E5"/>
    <w:rsid w:val="240371BF"/>
    <w:rsid w:val="25C741E6"/>
    <w:rsid w:val="26D7485F"/>
    <w:rsid w:val="27842671"/>
    <w:rsid w:val="29FD04D3"/>
    <w:rsid w:val="2ABE7A3E"/>
    <w:rsid w:val="2B9E76FA"/>
    <w:rsid w:val="2EFA178C"/>
    <w:rsid w:val="30B46D73"/>
    <w:rsid w:val="319F7F4E"/>
    <w:rsid w:val="35A85D44"/>
    <w:rsid w:val="39AE70AB"/>
    <w:rsid w:val="39D23390"/>
    <w:rsid w:val="3C0C0783"/>
    <w:rsid w:val="3E04234F"/>
    <w:rsid w:val="3E860BED"/>
    <w:rsid w:val="3F9F3A96"/>
    <w:rsid w:val="42010CB6"/>
    <w:rsid w:val="473F7B8B"/>
    <w:rsid w:val="478A34FC"/>
    <w:rsid w:val="481313E7"/>
    <w:rsid w:val="493C27E9"/>
    <w:rsid w:val="496F39ED"/>
    <w:rsid w:val="49FF41D3"/>
    <w:rsid w:val="4B0179DA"/>
    <w:rsid w:val="4B566C6A"/>
    <w:rsid w:val="4B9A5044"/>
    <w:rsid w:val="4BE068DB"/>
    <w:rsid w:val="4BF6002B"/>
    <w:rsid w:val="4D9F75D5"/>
    <w:rsid w:val="4ECE2238"/>
    <w:rsid w:val="51DB4B86"/>
    <w:rsid w:val="55333C3E"/>
    <w:rsid w:val="584C2108"/>
    <w:rsid w:val="5A113609"/>
    <w:rsid w:val="61A3723C"/>
    <w:rsid w:val="64357EF4"/>
    <w:rsid w:val="64CA39A1"/>
    <w:rsid w:val="65AC2438"/>
    <w:rsid w:val="65F77B57"/>
    <w:rsid w:val="66124991"/>
    <w:rsid w:val="66D32372"/>
    <w:rsid w:val="6B9419A4"/>
    <w:rsid w:val="6C4A05C8"/>
    <w:rsid w:val="700B20F4"/>
    <w:rsid w:val="72734D90"/>
    <w:rsid w:val="74F160B9"/>
    <w:rsid w:val="79E7B28D"/>
    <w:rsid w:val="7F9F20EE"/>
    <w:rsid w:val="9E3A10E2"/>
    <w:rsid w:val="F2E1F9D4"/>
    <w:rsid w:val="F7880819"/>
    <w:rsid w:val="FF7E30B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2"/>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3"/>
    <w:qFormat/>
    <w:uiPriority w:val="9"/>
    <w:rPr>
      <w:rFonts w:ascii="Times New Roman" w:hAnsi="Times New Roman"/>
      <w:b/>
      <w:bCs/>
      <w:kern w:val="44"/>
      <w:sz w:val="44"/>
      <w:szCs w:val="44"/>
    </w:rPr>
  </w:style>
  <w:style w:type="character" w:customStyle="1" w:styleId="25">
    <w:name w:val="标题 2 Char"/>
    <w:basedOn w:val="13"/>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5"/>
    <w:qFormat/>
    <w:uiPriority w:val="9"/>
    <w:rPr>
      <w:rFonts w:ascii="Times New Roman" w:hAnsi="Times New Roman"/>
      <w:b/>
      <w:bCs/>
      <w:kern w:val="2"/>
      <w:sz w:val="32"/>
      <w:szCs w:val="32"/>
    </w:rPr>
  </w:style>
  <w:style w:type="paragraph" w:customStyle="1" w:styleId="29">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bjh-p"/>
    <w:basedOn w:val="13"/>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7629</Words>
  <Characters>8200</Characters>
  <Lines>61</Lines>
  <Paragraphs>17</Paragraphs>
  <TotalTime>18</TotalTime>
  <ScaleCrop>false</ScaleCrop>
  <LinksUpToDate>false</LinksUpToDate>
  <CharactersWithSpaces>8239</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_</cp:lastModifiedBy>
  <cp:lastPrinted>2022-08-06T10:23:00Z</cp:lastPrinted>
  <dcterms:modified xsi:type="dcterms:W3CDTF">2022-08-25T02:15:32Z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6A57A101EDA74FE981E49639FB324927</vt:lpwstr>
  </property>
</Properties>
</file>